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855D" w14:textId="2631E30B" w:rsidR="003333F4" w:rsidRPr="00443806" w:rsidRDefault="00F5337D" w:rsidP="003A2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14:paraId="4E2D340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председатель комитета</w:t>
      </w:r>
    </w:p>
    <w:p w14:paraId="3731B1F5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государственного заказа</w:t>
      </w:r>
    </w:p>
    <w:p w14:paraId="0884CD70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Правительства Хабаровского края</w:t>
      </w:r>
    </w:p>
    <w:p w14:paraId="69C9F57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3DA9D6B" w14:textId="63466DA1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___________ </w:t>
      </w:r>
      <w:r w:rsidR="003A2B69" w:rsidRPr="00443806">
        <w:rPr>
          <w:rFonts w:ascii="Times New Roman" w:hAnsi="Times New Roman"/>
          <w:color w:val="FFFFFF" w:themeColor="background1"/>
          <w:sz w:val="28"/>
          <w:szCs w:val="28"/>
        </w:rPr>
        <w:t>А.В. Лучин</w:t>
      </w:r>
    </w:p>
    <w:p w14:paraId="4577163B" w14:textId="14A61093" w:rsidR="00006881" w:rsidRPr="00443806" w:rsidRDefault="003A2B69" w:rsidP="003A2B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19 апреля 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20</w:t>
      </w:r>
      <w:r w:rsidRPr="00443806">
        <w:rPr>
          <w:rFonts w:ascii="Times New Roman" w:hAnsi="Times New Roman"/>
          <w:color w:val="FFFFFF" w:themeColor="background1"/>
          <w:sz w:val="28"/>
          <w:szCs w:val="28"/>
        </w:rPr>
        <w:t>17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</w:p>
    <w:p w14:paraId="0B83D084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AE319F7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93ADAA5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1E29BF9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D86637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7A3AFEB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DA09E5E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E84760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B0715C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DC30D6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4A7A01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37404C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CACC6D" w14:textId="13D8C227" w:rsidR="005F1227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eastAsia="Times New Roman" w:hAnsi="Times New Roman"/>
          <w:b/>
          <w:sz w:val="40"/>
          <w:szCs w:val="40"/>
          <w:lang w:eastAsia="en-US"/>
        </w:rPr>
        <w:t>АНАЛИТИЧЕСКИЙ ОТЧЕТ</w:t>
      </w:r>
    </w:p>
    <w:p w14:paraId="4E3505B1" w14:textId="7441CEBC" w:rsidR="003333F4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 xml:space="preserve">по результатам мониторинга закупок товаров, работ, услуг </w:t>
      </w:r>
      <w:r w:rsidR="00FA6928" w:rsidRPr="005F1227">
        <w:rPr>
          <w:rFonts w:ascii="Times New Roman" w:hAnsi="Times New Roman"/>
          <w:sz w:val="40"/>
          <w:szCs w:val="40"/>
        </w:rPr>
        <w:t>для обеспечения муниципальны</w:t>
      </w:r>
      <w:r w:rsidRPr="005F1227">
        <w:rPr>
          <w:rFonts w:ascii="Times New Roman" w:hAnsi="Times New Roman"/>
          <w:sz w:val="40"/>
          <w:szCs w:val="40"/>
        </w:rPr>
        <w:t xml:space="preserve">х нужд </w:t>
      </w:r>
    </w:p>
    <w:p w14:paraId="632823F3" w14:textId="4221F107" w:rsidR="00211BA3" w:rsidRPr="005F1227" w:rsidRDefault="00FA6928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>муниципального образования города Благовещенска</w:t>
      </w:r>
      <w:r w:rsidR="00C3185E" w:rsidRPr="005F1227">
        <w:rPr>
          <w:rFonts w:ascii="Times New Roman" w:hAnsi="Times New Roman"/>
          <w:sz w:val="40"/>
          <w:szCs w:val="40"/>
        </w:rPr>
        <w:t xml:space="preserve"> </w:t>
      </w:r>
    </w:p>
    <w:p w14:paraId="6A1DE961" w14:textId="19ECCAFE" w:rsidR="003333F4" w:rsidRPr="005F1227" w:rsidRDefault="003333F4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hAnsi="Times New Roman"/>
          <w:b/>
          <w:sz w:val="40"/>
          <w:szCs w:val="40"/>
        </w:rPr>
        <w:t xml:space="preserve">за </w:t>
      </w:r>
      <w:r w:rsidR="00393E7B">
        <w:rPr>
          <w:rFonts w:ascii="Times New Roman" w:hAnsi="Times New Roman"/>
          <w:b/>
          <w:sz w:val="40"/>
          <w:szCs w:val="40"/>
          <w:lang w:val="en-US"/>
        </w:rPr>
        <w:t>I</w:t>
      </w:r>
      <w:r w:rsidR="00393E7B">
        <w:rPr>
          <w:rFonts w:ascii="Times New Roman" w:hAnsi="Times New Roman"/>
          <w:b/>
          <w:sz w:val="40"/>
          <w:szCs w:val="40"/>
        </w:rPr>
        <w:t xml:space="preserve"> квартал </w:t>
      </w:r>
      <w:r w:rsidR="00936367" w:rsidRPr="005F1227">
        <w:rPr>
          <w:rFonts w:ascii="Times New Roman" w:hAnsi="Times New Roman"/>
          <w:b/>
          <w:sz w:val="40"/>
          <w:szCs w:val="40"/>
        </w:rPr>
        <w:t>20</w:t>
      </w:r>
      <w:r w:rsidR="00B92898" w:rsidRPr="005F1227">
        <w:rPr>
          <w:rFonts w:ascii="Times New Roman" w:hAnsi="Times New Roman"/>
          <w:b/>
          <w:sz w:val="40"/>
          <w:szCs w:val="40"/>
        </w:rPr>
        <w:t>2</w:t>
      </w:r>
      <w:r w:rsidR="00393E7B">
        <w:rPr>
          <w:rFonts w:ascii="Times New Roman" w:hAnsi="Times New Roman"/>
          <w:b/>
          <w:sz w:val="40"/>
          <w:szCs w:val="40"/>
        </w:rPr>
        <w:t>1</w:t>
      </w:r>
      <w:r w:rsidR="00936367" w:rsidRPr="005F1227">
        <w:rPr>
          <w:rFonts w:ascii="Times New Roman" w:hAnsi="Times New Roman"/>
          <w:b/>
          <w:sz w:val="40"/>
          <w:szCs w:val="40"/>
        </w:rPr>
        <w:t xml:space="preserve"> год</w:t>
      </w:r>
      <w:r w:rsidR="00393E7B">
        <w:rPr>
          <w:rFonts w:ascii="Times New Roman" w:hAnsi="Times New Roman"/>
          <w:b/>
          <w:sz w:val="40"/>
          <w:szCs w:val="40"/>
        </w:rPr>
        <w:t>а</w:t>
      </w:r>
      <w:r w:rsidRPr="005F1227">
        <w:rPr>
          <w:rFonts w:ascii="Times New Roman" w:hAnsi="Times New Roman"/>
          <w:b/>
          <w:sz w:val="40"/>
          <w:szCs w:val="40"/>
        </w:rPr>
        <w:br/>
      </w:r>
    </w:p>
    <w:p w14:paraId="188F2D9E" w14:textId="77777777" w:rsidR="00211BA3" w:rsidRDefault="00211BA3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D5D825" w14:textId="77777777" w:rsidR="00EF22A9" w:rsidRDefault="00EF22A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F3EC0B" w14:textId="7B353EEC" w:rsidR="00305369" w:rsidRPr="00514FDF" w:rsidRDefault="003A2B69" w:rsidP="00514F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br w:type="page"/>
      </w:r>
    </w:p>
    <w:p w14:paraId="3F3ACD23" w14:textId="73B62ED8" w:rsidR="00881796" w:rsidRPr="00C77CA6" w:rsidRDefault="00A4215B" w:rsidP="009574B9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>Планирование закупок</w:t>
      </w:r>
    </w:p>
    <w:p w14:paraId="06E0C31D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348CB9" w14:textId="5F49339E" w:rsidR="00271BC0" w:rsidRP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Планирование  закупок  товаров,  работ,  услуг  является  одним  из  инструментов  повышения  эффективности  расходования  бюджетных  средств и основой </w:t>
      </w:r>
      <w:proofErr w:type="gramStart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обеспечения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муниципальны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х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proofErr w:type="gramEnd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8969B3" w14:textId="576DC6D9" w:rsid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Планирование  закупок  осуществля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ется 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посредством  формирования, утверждения и ведения планов-графиков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EAA7DD" w14:textId="7EF855DA" w:rsidR="00271BC0" w:rsidRPr="00433F04" w:rsidRDefault="00DB1672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единой информационной системе в сфере закупок (далее  –  ЕИС)  в структурированном виде размещены планы-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графики закупок </w:t>
      </w:r>
      <w:r w:rsidR="00BC3509" w:rsidRPr="00433F04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2BF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муниципальных 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B02BF0" w:rsidRPr="00433F04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952E1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, общее количество позиций планов-графиков закупок –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619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381FA9C2" w14:textId="0C6A1ED9" w:rsidR="009574B9" w:rsidRPr="00433F04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Общий объем закупок, размещенный заказчиками в планах-графиках закупок на 202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 и плановый период </w:t>
      </w:r>
      <w:r w:rsidR="00AE0BA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-202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годов, составляет </w:t>
      </w:r>
      <w:r w:rsidR="00AB573B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6 826 171,58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AB573B"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</w:t>
      </w:r>
    </w:p>
    <w:p w14:paraId="0757DD60" w14:textId="4CD56E6B" w:rsidR="009574B9" w:rsidRPr="00785BBB" w:rsidRDefault="009574B9" w:rsidP="00AB57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Общий  объем  закупок,  размещенный  заказчиками  в  планах-графиках закупок на 202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год, составляет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2 552 446,78 тыс.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EE2AE8"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36B2A" w:rsidRPr="00433F04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E36B2A" w:rsidRPr="00433F04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запланированных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средств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на 2021-2023 годы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B26423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1,5</w:t>
      </w:r>
      <w:r w:rsidR="00B26423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раза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превышает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аналогичный показатель планов-графиков закупок на 20</w:t>
      </w:r>
      <w:r w:rsidR="0088689F" w:rsidRPr="00433F0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5C3375" w:rsidRPr="00433F04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6360FE" w14:textId="2D771752" w:rsidR="009574B9" w:rsidRPr="00785BBB" w:rsidRDefault="00DB1672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соответствии с планами-графиками </w:t>
      </w:r>
      <w:r w:rsidR="009B18E4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в ЕИС </w:t>
      </w:r>
      <w:r w:rsidR="006F08E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размещено </w:t>
      </w:r>
      <w:r w:rsidR="00E306A3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109 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извещени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о закупк</w:t>
      </w:r>
      <w:r w:rsidR="006F08E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ах товаров, работ, услуг 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 объемом  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>1 8</w:t>
      </w:r>
      <w:r w:rsidR="00E306A3" w:rsidRPr="00E306A3">
        <w:rPr>
          <w:rFonts w:ascii="Times New Roman" w:eastAsia="Times New Roman" w:hAnsi="Times New Roman"/>
          <w:sz w:val="28"/>
          <w:szCs w:val="28"/>
          <w:lang w:eastAsia="en-US"/>
        </w:rPr>
        <w:t>27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E306A3" w:rsidRPr="00E306A3">
        <w:rPr>
          <w:rFonts w:ascii="Times New Roman" w:eastAsia="Times New Roman" w:hAnsi="Times New Roman"/>
          <w:sz w:val="28"/>
          <w:szCs w:val="28"/>
          <w:lang w:eastAsia="en-US"/>
        </w:rPr>
        <w:t>093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>,2</w:t>
      </w:r>
      <w:r w:rsidR="00E306A3" w:rsidRPr="00E306A3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млн</w:t>
      </w:r>
      <w:r w:rsidR="009B18E4" w:rsidRPr="00E306A3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B42E6E" w14:textId="77777777" w:rsidR="00366110" w:rsidRPr="00785B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215540" w14:textId="77777777" w:rsidR="00785BBB" w:rsidRDefault="00785BBB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300E341" w14:textId="0FAB0671" w:rsidR="009574B9" w:rsidRPr="003A7F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</w:t>
      </w:r>
      <w:r w:rsidR="009574B9"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оличеств</w:t>
      </w: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 извещений</w:t>
      </w:r>
    </w:p>
    <w:p w14:paraId="5597EB70" w14:textId="77777777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41B0370" w14:textId="10BC7B6B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8A2EBFE" wp14:editId="0AC13AE2">
            <wp:extent cx="5269423" cy="3200400"/>
            <wp:effectExtent l="0" t="0" r="2667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77FBB" w14:textId="77777777" w:rsid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91397" w14:textId="77777777" w:rsidR="00510888" w:rsidRDefault="00510888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5D114A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C6D05D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D851D2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88B867" w14:textId="77777777" w:rsidR="00D124FA" w:rsidRDefault="00D124FA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624172ED" w14:textId="2F22E44F" w:rsidR="00510888" w:rsidRPr="003A7FBB" w:rsidRDefault="00510888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извещений</w:t>
      </w:r>
    </w:p>
    <w:p w14:paraId="76BB8514" w14:textId="74D4F490" w:rsidR="007952E1" w:rsidRPr="00510888" w:rsidRDefault="002B0865" w:rsidP="002B0865">
      <w:pPr>
        <w:widowControl w:val="0"/>
        <w:tabs>
          <w:tab w:val="left" w:pos="1134"/>
          <w:tab w:val="left" w:pos="36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</w:p>
    <w:p w14:paraId="571D6E01" w14:textId="0F7256D1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0793E88" wp14:editId="249CEC59">
            <wp:extent cx="5269423" cy="3200400"/>
            <wp:effectExtent l="0" t="0" r="2667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1F861" w14:textId="77777777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1734BD" w14:textId="77777777" w:rsidR="00D124FA" w:rsidRDefault="00D124FA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35A0DE" w14:textId="46A3FBE5" w:rsidR="009574B9" w:rsidRPr="009574B9" w:rsidRDefault="009574B9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Самым  распространенным  конкурентным  способом  определения  поставщик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(по  количеству  объявленных  в  отчетном  периоде  конкурентных 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процедур) </w:t>
      </w:r>
      <w:r w:rsidR="006A3F62">
        <w:rPr>
          <w:rFonts w:ascii="Times New Roman" w:eastAsia="Times New Roman" w:hAnsi="Times New Roman"/>
          <w:sz w:val="28"/>
          <w:szCs w:val="28"/>
          <w:lang w:eastAsia="en-US"/>
        </w:rPr>
        <w:t xml:space="preserve">является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аукцион, доля извещений которого составила 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9,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%. </w:t>
      </w:r>
    </w:p>
    <w:p w14:paraId="175D1DA1" w14:textId="7D1BAF07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Изменения  в  план-график  закупок  заказчиками  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вносились  </w:t>
      </w:r>
      <w:r w:rsidR="0068103F" w:rsidRPr="00946A21">
        <w:rPr>
          <w:rFonts w:ascii="Times New Roman" w:eastAsia="Times New Roman" w:hAnsi="Times New Roman"/>
          <w:sz w:val="28"/>
          <w:szCs w:val="28"/>
          <w:lang w:eastAsia="en-US"/>
        </w:rPr>
        <w:t>163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 раз</w:t>
      </w:r>
      <w:r w:rsidR="0068103F" w:rsidRPr="00946A21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, среднее число версий в плане-графике составило </w:t>
      </w:r>
      <w:r w:rsidR="0068103F" w:rsidRPr="00946A21">
        <w:rPr>
          <w:rFonts w:ascii="Times New Roman" w:eastAsia="Times New Roman" w:hAnsi="Times New Roman"/>
          <w:sz w:val="28"/>
          <w:szCs w:val="28"/>
          <w:lang w:eastAsia="en-US"/>
        </w:rPr>
        <w:t>6,5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A466C66" w14:textId="77777777" w:rsidR="009574B9" w:rsidRPr="00965BE8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Наиболее частыми основаниями внесения изменений в планы-графики </w:t>
      </w:r>
    </w:p>
    <w:p w14:paraId="2AB966C3" w14:textId="77777777" w:rsidR="009574B9" w:rsidRPr="00965BE8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являлись: </w:t>
      </w:r>
    </w:p>
    <w:p w14:paraId="25A81B49" w14:textId="6762ECFF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-  возникновение обстоятельств, предвидеть которые на дату утверждения плана-графика закупок было невозможно; </w:t>
      </w:r>
    </w:p>
    <w:p w14:paraId="4AFAE35D" w14:textId="1218592C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-  образовавшаяся  экономия  от  использования  в  текущем  финансовом году</w:t>
      </w:r>
      <w:r w:rsidR="00BA18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бюджетных ассигнований в соответствии с законодательством Российской Федерации.</w:t>
      </w:r>
    </w:p>
    <w:p w14:paraId="785B8E1D" w14:textId="5CEA4180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В  основаниях для  внесения  изменений преобладают  случаи, когда  изменения обусловлены возникновением обстоятельств, предвидеть которые на дату утверждения плана-графика было невозможно. С учетом того, что выделяемый объем финансовых средств определяется на основании обоснования бюджетных ассигнований, формируемых заказчиками, значительное количество 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непредвиденных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закупок  свидетельствует  о  недостаточном  качестве планирования.</w:t>
      </w:r>
    </w:p>
    <w:p w14:paraId="64B9C7DF" w14:textId="0ADC751B" w:rsidR="003A2B69" w:rsidRDefault="007710D0" w:rsidP="003A2B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>Заказчики с наибольшим объёмом</w:t>
      </w:r>
      <w:r w:rsidR="003A2B69"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запланированных закупок:</w:t>
      </w:r>
    </w:p>
    <w:p w14:paraId="3690DA7B" w14:textId="4811C08E" w:rsidR="008442A0" w:rsidRDefault="00B83B6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МУ «Городское управление капитального строительства» 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390D3E">
        <w:rPr>
          <w:rFonts w:ascii="Times New Roman" w:eastAsia="Times New Roman" w:hAnsi="Times New Roman"/>
          <w:sz w:val="28"/>
          <w:szCs w:val="28"/>
          <w:lang w:eastAsia="en-US"/>
        </w:rPr>
        <w:t>1 906 823,64</w:t>
      </w:r>
      <w:r w:rsidR="00332EE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90D3E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442A0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A878801" w14:textId="38C81771" w:rsidR="008442A0" w:rsidRDefault="008442A0" w:rsidP="0061201E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управление ЖКХ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   администрации города Благовещенска </w:t>
      </w:r>
      <w:r w:rsidR="0051675A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>217 413,56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3D2771D3" w14:textId="2EF1E5A3" w:rsidR="00AD33A2" w:rsidRPr="00AD33A2" w:rsidRDefault="00AD33A2" w:rsidP="00AD33A2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МКУ «Благовещенский городской архивный жилищный центр»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125 474,05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2681CEB" w14:textId="336BE960" w:rsidR="00581726" w:rsidRDefault="00B83B60" w:rsidP="00581726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администрация города Благовещенска 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>123 206,66 тыс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581726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84CA97A" w14:textId="6679D3A5" w:rsidR="003A2B69" w:rsidRDefault="008442A0" w:rsidP="007903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МКУ «Эксплуатационно-хозяйственная служба» (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>74 570,39 тыс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032F7301" w14:textId="77777777" w:rsidR="008C163F" w:rsidRDefault="008C163F" w:rsidP="008C163F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МКУ «</w:t>
      </w: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по делам гражданской обороны и чрезвычайным </w:t>
      </w:r>
    </w:p>
    <w:p w14:paraId="306A99ED" w14:textId="15962387" w:rsidR="008C163F" w:rsidRPr="008C163F" w:rsidRDefault="008C163F" w:rsidP="008C1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>ситуациям города Благовещенска» (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>44 199,44 тыс. руб.).</w:t>
      </w:r>
    </w:p>
    <w:p w14:paraId="1A525374" w14:textId="77777777" w:rsidR="002F7931" w:rsidRPr="00D124FA" w:rsidRDefault="002F7931" w:rsidP="00D124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69865F" w14:textId="76D96164" w:rsidR="003A2B69" w:rsidRPr="00C77CA6" w:rsidRDefault="00AC33BA" w:rsidP="00AC33BA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Осуществление закупок</w:t>
      </w:r>
    </w:p>
    <w:p w14:paraId="69EE5254" w14:textId="77777777" w:rsid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94ED34C" w14:textId="19F9B545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2F1715">
        <w:rPr>
          <w:rFonts w:ascii="Times New Roman" w:eastAsia="Times New Roman" w:hAnsi="Times New Roman"/>
          <w:b/>
          <w:sz w:val="28"/>
          <w:szCs w:val="28"/>
          <w:lang w:eastAsia="en-US"/>
        </w:rPr>
        <w:t>.1. Централизация закупок</w:t>
      </w:r>
    </w:p>
    <w:p w14:paraId="300CBF6F" w14:textId="77777777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18E155" w14:textId="1C2C2AA3" w:rsidR="00AC33BA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C71F27" w:rsidRPr="00E777E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управлением муниципального заказа администрации города Благовещенска </w:t>
      </w:r>
      <w:r w:rsidR="009746F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(далее -  Управление)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>109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поставщиков (подрядчик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) общим объемом </w:t>
      </w:r>
      <w:r w:rsidR="00514FDF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НМЦК </w:t>
      </w:r>
      <w:r w:rsidR="00E12CC4">
        <w:rPr>
          <w:rFonts w:ascii="Times New Roman" w:hAnsi="Times New Roman"/>
          <w:sz w:val="28"/>
          <w:szCs w:val="28"/>
          <w:lang w:eastAsia="en-US"/>
        </w:rPr>
        <w:t>1</w:t>
      </w:r>
      <w:r w:rsidR="00D43257">
        <w:rPr>
          <w:rFonts w:ascii="Times New Roman" w:hAnsi="Times New Roman"/>
          <w:sz w:val="28"/>
          <w:szCs w:val="28"/>
          <w:lang w:eastAsia="en-US"/>
        </w:rPr>
        <w:t> 827 093</w:t>
      </w:r>
      <w:r w:rsidR="00E12CC4">
        <w:rPr>
          <w:rFonts w:ascii="Times New Roman" w:hAnsi="Times New Roman"/>
          <w:sz w:val="28"/>
          <w:szCs w:val="28"/>
          <w:lang w:eastAsia="en-US"/>
        </w:rPr>
        <w:t>,2</w:t>
      </w:r>
      <w:r w:rsidR="00D43257">
        <w:rPr>
          <w:rFonts w:ascii="Times New Roman" w:hAnsi="Times New Roman"/>
          <w:sz w:val="28"/>
          <w:szCs w:val="28"/>
          <w:lang w:eastAsia="en-US"/>
        </w:rPr>
        <w:t>5</w:t>
      </w:r>
      <w:r w:rsidR="00EF0535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Данный показатель 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как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в количественном </w:t>
      </w:r>
      <w:r w:rsidR="00F266D4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81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), 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так и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1 518 773,76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руб.)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1CE1ECCC" w14:textId="5FA039DE" w:rsidR="001B13D6" w:rsidRPr="002F1715" w:rsidRDefault="00D43257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281391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8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281391" w:rsidRPr="00E777EE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692620">
        <w:rPr>
          <w:rFonts w:ascii="Times New Roman" w:eastAsia="Times New Roman" w:hAnsi="Times New Roman"/>
          <w:sz w:val="28"/>
          <w:szCs w:val="28"/>
          <w:lang w:eastAsia="en-US"/>
        </w:rPr>
        <w:t xml:space="preserve">цен контрактов по результатам конкурентных процедур </w:t>
      </w:r>
      <w:r>
        <w:rPr>
          <w:rFonts w:ascii="Times New Roman" w:hAnsi="Times New Roman"/>
          <w:sz w:val="28"/>
          <w:szCs w:val="28"/>
          <w:lang w:eastAsia="en-US"/>
        </w:rPr>
        <w:t>1 061 867,16</w:t>
      </w:r>
      <w:r w:rsidR="001B13D6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B00BA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было завершено в отчетном периоде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23,8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показателя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6135A9" w:rsidRPr="00AD58B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6135A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количестве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н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>63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но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24,7% ниже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стоимос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>1 410 951,29</w:t>
      </w:r>
      <w:r w:rsid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</w:p>
    <w:p w14:paraId="79897C2D" w14:textId="75B5191A" w:rsidR="00AC33BA" w:rsidRPr="002F1715" w:rsidRDefault="009202E4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о результатам определений поставщиков (подрядчиков, исполнителей)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муниципальными заказчиками</w:t>
      </w:r>
      <w:r w:rsidR="009746F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был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заключен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62</w:t>
      </w:r>
      <w:r w:rsidR="00EF053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9202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1 137 080,85 </w:t>
      </w:r>
      <w:r w:rsidRPr="00AB00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(в том числе </w:t>
      </w:r>
      <w:r w:rsidR="00A078D2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C63BC9" w:rsidRP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на 76 816,84 тыс. руб., </w:t>
      </w:r>
      <w:r w:rsidR="0011775C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о срок</w:t>
      </w:r>
      <w:r w:rsidR="0011775C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заключения - январь 2021 года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по 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>закупкам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, завершенным в 2020 году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AC33BA" w:rsidRPr="00AB006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AC33BA">
        <w:rPr>
          <w:rFonts w:ascii="Times New Roman" w:eastAsia="Times New Roman" w:hAnsi="Times New Roman"/>
          <w:sz w:val="28"/>
          <w:szCs w:val="28"/>
          <w:lang w:eastAsia="en-US"/>
        </w:rPr>
        <w:t xml:space="preserve"> что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ниже аналогичного </w:t>
      </w:r>
      <w:r w:rsidR="00AC33BA">
        <w:rPr>
          <w:rFonts w:ascii="Times New Roman" w:eastAsia="Times New Roman" w:hAnsi="Times New Roman"/>
          <w:sz w:val="28"/>
          <w:szCs w:val="28"/>
          <w:lang w:eastAsia="en-US"/>
        </w:rPr>
        <w:t>показателя 20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AC33B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количественном (67 контрактов) и в 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>стоимостном выражени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ях</w:t>
      </w:r>
      <w:proofErr w:type="gramEnd"/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proofErr w:type="gramStart"/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1 390 090,99 тыс. руб.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2A6DC5C2" w14:textId="305349C4" w:rsidR="00AC33BA" w:rsidRPr="001B49C0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Таким образом,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762D2">
        <w:rPr>
          <w:rFonts w:ascii="Times New Roman" w:eastAsia="Times New Roman" w:hAnsi="Times New Roman"/>
          <w:sz w:val="28"/>
          <w:szCs w:val="28"/>
          <w:lang w:eastAsia="en-US"/>
        </w:rPr>
        <w:t>большая часть</w:t>
      </w:r>
      <w:r w:rsidRP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средств,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направленных в 20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9A66E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 закупки товаров, работ, услуг для обеспечения муниципальных нужд, расходуются в рамках централизованных закупок, осуществленных Управлением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AC33B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 также  позволяет  минимизировать  риски  потери  экономической  эффективности при осуществлении закупок для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F744A1" w14:textId="77777777" w:rsidR="00F266D4" w:rsidRPr="00AC33BA" w:rsidRDefault="00F266D4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A74EFB9" w14:textId="77777777" w:rsidR="00E8173E" w:rsidRDefault="00E01D9A" w:rsidP="00E01D9A">
      <w:pPr>
        <w:pStyle w:val="af1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817AED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Проведение</w:t>
      </w:r>
      <w:r w:rsidR="001D25E1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процедур определения поставщиков</w:t>
      </w:r>
      <w:r w:rsidR="00A0456C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888EECB" w14:textId="231D79D4" w:rsidR="003971C9" w:rsidRPr="00E01D9A" w:rsidRDefault="00A0456C" w:rsidP="00E8173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35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(подрядчиков, исполнителей)</w:t>
      </w:r>
    </w:p>
    <w:p w14:paraId="5C2476A9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03DC61" w14:textId="0A81267A" w:rsidR="009F7543" w:rsidRDefault="009F7543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Количество определений поставщик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) в отчетном периоде 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составило 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109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1455">
        <w:rPr>
          <w:rFonts w:ascii="Times New Roman" w:eastAsia="Times New Roman" w:hAnsi="Times New Roman"/>
          <w:sz w:val="28"/>
          <w:szCs w:val="28"/>
          <w:lang w:eastAsia="en-US"/>
        </w:rPr>
        <w:t>ед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., </w:t>
      </w:r>
      <w:r w:rsidR="00952FCE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34,6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81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ед.)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28EEDCB" w14:textId="0537B507" w:rsidR="00C71B56" w:rsidRDefault="006C5CC8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и объем закупок, завершенных в отчетном периоде, в разрезе конкурентных способов определения 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представлены в таблице ниже.</w:t>
      </w:r>
    </w:p>
    <w:p w14:paraId="2FCD24A7" w14:textId="77777777" w:rsidR="009F7543" w:rsidRDefault="009F7543" w:rsidP="003971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319"/>
        <w:gridCol w:w="3153"/>
        <w:gridCol w:w="2665"/>
      </w:tblGrid>
      <w:tr w:rsidR="006C5CC8" w:rsidRPr="003971C9" w14:paraId="2393885F" w14:textId="77777777" w:rsidTr="001D5102">
        <w:trPr>
          <w:trHeight w:val="964"/>
        </w:trPr>
        <w:tc>
          <w:tcPr>
            <w:tcW w:w="4198" w:type="dxa"/>
          </w:tcPr>
          <w:p w14:paraId="0971BFF7" w14:textId="2CE688FF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Способ определения поставщика</w:t>
            </w:r>
            <w:r w:rsidR="004E14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(подрядчика, исполнителя)</w:t>
            </w:r>
          </w:p>
        </w:tc>
        <w:tc>
          <w:tcPr>
            <w:tcW w:w="3065" w:type="dxa"/>
          </w:tcPr>
          <w:p w14:paraId="40F6C811" w14:textId="4DCE7A26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определений поставщиков (шт.)</w:t>
            </w:r>
          </w:p>
        </w:tc>
        <w:tc>
          <w:tcPr>
            <w:tcW w:w="2591" w:type="dxa"/>
          </w:tcPr>
          <w:p w14:paraId="566609D1" w14:textId="422D6AC1" w:rsidR="006C5CC8" w:rsidRPr="00EF0535" w:rsidRDefault="003F2859" w:rsidP="003F285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</w:t>
            </w:r>
            <w:r w:rsidRPr="003F28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ена по результатам процедур</w:t>
            </w:r>
            <w:r w:rsidR="006C5CC8"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тыс.  руб.</w:t>
            </w:r>
          </w:p>
        </w:tc>
      </w:tr>
      <w:tr w:rsidR="006C5CC8" w:rsidRPr="003971C9" w14:paraId="12B79DFD" w14:textId="77777777" w:rsidTr="001D5102">
        <w:tc>
          <w:tcPr>
            <w:tcW w:w="4198" w:type="dxa"/>
          </w:tcPr>
          <w:p w14:paraId="3B83EC83" w14:textId="77777777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Всего по конкурентным процедурам, </w:t>
            </w:r>
          </w:p>
          <w:p w14:paraId="6DE35823" w14:textId="7B821B6C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 том числе: </w:t>
            </w:r>
          </w:p>
        </w:tc>
        <w:tc>
          <w:tcPr>
            <w:tcW w:w="3065" w:type="dxa"/>
            <w:vAlign w:val="center"/>
          </w:tcPr>
          <w:p w14:paraId="689A3F4C" w14:textId="79FA708B" w:rsidR="006C5CC8" w:rsidRPr="006C5CC8" w:rsidRDefault="004A7EF5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591" w:type="dxa"/>
            <w:vAlign w:val="center"/>
          </w:tcPr>
          <w:p w14:paraId="007B3BF4" w14:textId="624CD3DA" w:rsidR="006C5CC8" w:rsidRPr="003F2859" w:rsidRDefault="004A7EF5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1 061 867,16</w:t>
            </w:r>
          </w:p>
        </w:tc>
      </w:tr>
      <w:tr w:rsidR="006C5CC8" w:rsidRPr="003971C9" w14:paraId="6EF5C359" w14:textId="77777777" w:rsidTr="001D5102">
        <w:tc>
          <w:tcPr>
            <w:tcW w:w="4198" w:type="dxa"/>
          </w:tcPr>
          <w:p w14:paraId="2934BC0B" w14:textId="53F5BD8B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открытый конкурс в электронной форме</w:t>
            </w:r>
          </w:p>
        </w:tc>
        <w:tc>
          <w:tcPr>
            <w:tcW w:w="3065" w:type="dxa"/>
            <w:vAlign w:val="center"/>
          </w:tcPr>
          <w:p w14:paraId="21160E28" w14:textId="7E03025C" w:rsidR="006C5CC8" w:rsidRPr="006C5CC8" w:rsidRDefault="004A7EF5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91" w:type="dxa"/>
            <w:vAlign w:val="center"/>
          </w:tcPr>
          <w:p w14:paraId="6629DC50" w14:textId="20501EDC" w:rsidR="006C5CC8" w:rsidRPr="006C5CC8" w:rsidRDefault="004A7EF5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772 152,86</w:t>
            </w:r>
          </w:p>
        </w:tc>
      </w:tr>
      <w:tr w:rsidR="001D5102" w:rsidRPr="003971C9" w14:paraId="73527A45" w14:textId="77777777" w:rsidTr="001C0201">
        <w:trPr>
          <w:trHeight w:val="608"/>
        </w:trPr>
        <w:tc>
          <w:tcPr>
            <w:tcW w:w="4198" w:type="dxa"/>
            <w:vAlign w:val="center"/>
          </w:tcPr>
          <w:p w14:paraId="284002D0" w14:textId="22592BD3" w:rsidR="001D5102" w:rsidRPr="006C5CC8" w:rsidRDefault="001D5102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</w:rPr>
              <w:t xml:space="preserve">электронный аукцион </w:t>
            </w:r>
          </w:p>
        </w:tc>
        <w:tc>
          <w:tcPr>
            <w:tcW w:w="3065" w:type="dxa"/>
            <w:vAlign w:val="center"/>
          </w:tcPr>
          <w:p w14:paraId="599146BF" w14:textId="13D18B35" w:rsidR="001D5102" w:rsidRPr="006C5CC8" w:rsidRDefault="004A7EF5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591" w:type="dxa"/>
            <w:vAlign w:val="center"/>
          </w:tcPr>
          <w:p w14:paraId="3554050C" w14:textId="2C4C1930" w:rsidR="003312BB" w:rsidRPr="006C5CC8" w:rsidRDefault="004A7EF5" w:rsidP="001C0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289 714,30</w:t>
            </w:r>
          </w:p>
        </w:tc>
      </w:tr>
    </w:tbl>
    <w:p w14:paraId="72914D77" w14:textId="77777777" w:rsidR="003A2B69" w:rsidRDefault="003A2B69" w:rsidP="006645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A4B42F" w14:textId="0468FA5E" w:rsidR="00784DDB" w:rsidRDefault="004A7EF5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было завершено</w:t>
      </w:r>
      <w:r w:rsidR="009F7543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совместн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и на общую сумму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2 420,39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извещения о проведении которых</w:t>
      </w:r>
      <w:r w:rsidR="00C6266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были размещены в декабре 2020 года, 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>в том числе:</w:t>
      </w:r>
    </w:p>
    <w:p w14:paraId="34BA98DA" w14:textId="438922F9" w:rsidR="00784DDB" w:rsidRDefault="00784DDB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307D7C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C348F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784DDB">
        <w:rPr>
          <w:rFonts w:ascii="Times New Roman" w:eastAsia="Times New Roman" w:hAnsi="Times New Roman"/>
          <w:sz w:val="28"/>
          <w:szCs w:val="28"/>
          <w:lang w:eastAsia="en-US"/>
        </w:rPr>
        <w:t>казание услуг по заправке и ремонту картриджей, ремонту оргтехники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</w:t>
      </w:r>
      <w:r w:rsidR="00307D7C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1 4</w:t>
      </w:r>
      <w:r w:rsidR="003C4357">
        <w:rPr>
          <w:rFonts w:ascii="Times New Roman" w:eastAsia="Times New Roman" w:hAnsi="Times New Roman"/>
          <w:sz w:val="28"/>
          <w:szCs w:val="28"/>
          <w:lang w:eastAsia="en-US"/>
        </w:rPr>
        <w:t>21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,00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1D5E4C48" w14:textId="493BD462" w:rsidR="00784DDB" w:rsidRDefault="00784DDB" w:rsidP="00784D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4A7EF5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4A7EF5" w:rsidRPr="004A7EF5">
        <w:rPr>
          <w:rFonts w:ascii="Times New Roman" w:eastAsia="Times New Roman" w:hAnsi="Times New Roman"/>
          <w:sz w:val="28"/>
          <w:szCs w:val="28"/>
          <w:lang w:eastAsia="en-US"/>
        </w:rPr>
        <w:t>оставк</w:t>
      </w:r>
      <w:r w:rsidR="003C4357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4A7EF5" w:rsidRPr="004A7EF5">
        <w:rPr>
          <w:rFonts w:ascii="Times New Roman" w:eastAsia="Times New Roman" w:hAnsi="Times New Roman"/>
          <w:sz w:val="28"/>
          <w:szCs w:val="28"/>
          <w:lang w:eastAsia="en-US"/>
        </w:rPr>
        <w:t xml:space="preserve"> бумаги для офисной техники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 сумму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C4357">
        <w:rPr>
          <w:rFonts w:ascii="Times New Roman" w:eastAsia="Times New Roman" w:hAnsi="Times New Roman"/>
          <w:sz w:val="28"/>
          <w:szCs w:val="28"/>
          <w:lang w:eastAsia="en-US"/>
        </w:rPr>
        <w:t>999,39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11E335E3" w14:textId="41C04AEF" w:rsidR="009F7543" w:rsidRDefault="000F7DC5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За аналогичный период 20</w:t>
      </w:r>
      <w:r w:rsidR="003C4357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2F68C8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>также было заверш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>ен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совместн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 xml:space="preserve">и на общую сумму 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>2 945,36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24E55503" w14:textId="28C6B95F" w:rsidR="002F68C8" w:rsidRPr="002F68C8" w:rsidRDefault="002F68C8" w:rsidP="006F2F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 традиционно остается самым распространенным способом определения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, способствуя открытости и прозрачности осуществления закупок. Доля извещений о проведении электронного аукциона составила </w:t>
      </w:r>
      <w:r w:rsidR="006E396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E396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процедур, но уступает в стоимостном выражении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>откры</w:t>
      </w:r>
      <w:r w:rsidR="00F71D41">
        <w:rPr>
          <w:rFonts w:ascii="Times New Roman" w:eastAsia="MS Mincho" w:hAnsi="Times New Roman"/>
          <w:sz w:val="28"/>
          <w:szCs w:val="28"/>
          <w:lang w:eastAsia="ja-JP"/>
        </w:rPr>
        <w:t>тому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конкурс</w:t>
      </w:r>
      <w:r w:rsidR="00F71D41">
        <w:rPr>
          <w:rFonts w:ascii="Times New Roman" w:eastAsia="MS Mincho" w:hAnsi="Times New Roman"/>
          <w:sz w:val="28"/>
          <w:szCs w:val="28"/>
          <w:lang w:eastAsia="ja-JP"/>
        </w:rPr>
        <w:t>у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электронной форме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>– 27,3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суммарного объема проведенных в отчетном периоде конкурентных закупок. </w:t>
      </w:r>
    </w:p>
    <w:p w14:paraId="3A134738" w14:textId="5698CB92" w:rsidR="00D87205" w:rsidRDefault="002F68C8" w:rsidP="007E3B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На  диаграммах  ниже  представлена  динамика  изменения  количества  и объема  закупок,  завершенных  в  отчетном  периоде,  в  разрезе  конкурентных способов определения 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09FF554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0368460" w14:textId="77777777" w:rsidR="004B60E4" w:rsidRDefault="004B60E4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0BA8F0C" w14:textId="77777777" w:rsid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Количество определений поставщиков </w:t>
      </w:r>
    </w:p>
    <w:p w14:paraId="61643A78" w14:textId="200E8EA3" w:rsidR="009D564B" w:rsidRP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ед.</w:t>
      </w:r>
    </w:p>
    <w:p w14:paraId="4A92C38D" w14:textId="77777777" w:rsidR="007F34CA" w:rsidRDefault="007F34CA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FB0DAD" w14:textId="41A20BA6" w:rsidR="002F68C8" w:rsidRDefault="009B312C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0A5AF08" wp14:editId="6CF44251">
            <wp:extent cx="4905375" cy="20383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93EFC5" w14:textId="77777777" w:rsidR="002F7931" w:rsidRDefault="002F7931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870D8C1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381BCA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D02248" w14:textId="77777777" w:rsidR="00785BBB" w:rsidRDefault="00785BB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5D327B0" w14:textId="5BF9B6AC" w:rsidR="009D564B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Объем (сумма) определений поставщиков (подрядчиков, исполнителей), тыс. руб.</w:t>
      </w:r>
    </w:p>
    <w:p w14:paraId="6982BD6F" w14:textId="77777777" w:rsidR="00EE5F43" w:rsidRPr="00EE5F43" w:rsidRDefault="00EE5F43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en-US"/>
        </w:rPr>
      </w:pPr>
    </w:p>
    <w:p w14:paraId="20A67F14" w14:textId="7D04C0F2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A6AFE33" wp14:editId="4F7FEC34">
            <wp:extent cx="4962525" cy="21050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65EA93" w14:textId="77777777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F8EC649" w14:textId="77777777" w:rsidR="00D87205" w:rsidRDefault="00D87205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239941F" w14:textId="5EADAB51" w:rsidR="00F84333" w:rsidRDefault="00424C93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 цена  одной  </w:t>
      </w:r>
      <w:r w:rsidR="008516DD">
        <w:rPr>
          <w:rFonts w:ascii="Times New Roman" w:eastAsia="Times New Roman" w:hAnsi="Times New Roman"/>
          <w:sz w:val="28"/>
          <w:szCs w:val="28"/>
          <w:lang w:eastAsia="en-US"/>
        </w:rPr>
        <w:t xml:space="preserve">завершенной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конкурентной  закупки  в  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а составила 13 613,68 тыс. руб.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с учетом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0B7E7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к на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C5534D" w:rsidRPr="00C5534D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9E1CEF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9E1CEF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C5534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AF99DDC" w14:textId="77777777" w:rsidR="00D61072" w:rsidRDefault="00D61072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936404" w14:textId="77777777" w:rsidR="00D87205" w:rsidRDefault="00D87205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94EA22" w14:textId="23E06461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b/>
          <w:sz w:val="28"/>
          <w:szCs w:val="28"/>
          <w:lang w:eastAsia="en-US"/>
        </w:rPr>
        <w:t>2.3. Проведение закупок на электронных площадках</w:t>
      </w:r>
    </w:p>
    <w:p w14:paraId="72779B20" w14:textId="77777777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BFFE043" w14:textId="2E88222C" w:rsidR="003A7FBB" w:rsidRPr="00CE349B" w:rsidRDefault="003A7FBB" w:rsidP="004346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Общий  объем  размещенных  извещений  об  осуществлении  закупок  в электронной  форме  в  отчетном  периоде  составил  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>109</w:t>
      </w:r>
      <w:r w:rsidR="00204757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на сумму </w:t>
      </w:r>
      <w:r w:rsidR="002608D5">
        <w:rPr>
          <w:rFonts w:ascii="Times New Roman" w:hAnsi="Times New Roman"/>
          <w:sz w:val="28"/>
          <w:szCs w:val="28"/>
          <w:lang w:eastAsia="en-US"/>
        </w:rPr>
        <w:t>1 827 093,25</w:t>
      </w:r>
      <w:r w:rsidR="00487B14" w:rsidRPr="00CE34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Закупки размещались на 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>дву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электронных площадках:  ООО «РТС-тендер»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АО «ЕЭТП». </w:t>
      </w:r>
    </w:p>
    <w:p w14:paraId="6497397F" w14:textId="3DA337D9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Основная масса извещений размещена на электронной площадке ООО «РТС-тендер»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AE1492">
        <w:rPr>
          <w:rFonts w:ascii="Times New Roman" w:eastAsia="Times New Roman" w:hAnsi="Times New Roman"/>
          <w:sz w:val="28"/>
          <w:szCs w:val="28"/>
          <w:lang w:eastAsia="en-US"/>
        </w:rPr>
        <w:t>104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9D58A2">
        <w:rPr>
          <w:rFonts w:ascii="Times New Roman" w:hAnsi="Times New Roman"/>
          <w:sz w:val="28"/>
          <w:szCs w:val="28"/>
          <w:lang w:eastAsia="en-US"/>
        </w:rPr>
        <w:t>1 826 722,47</w:t>
      </w:r>
      <w:r w:rsidR="00576F42" w:rsidRPr="00CE34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или </w:t>
      </w:r>
      <w:r w:rsidR="00EE2600" w:rsidRPr="00CE349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D58A2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EE2600" w:rsidRPr="00CE349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9D58A2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извещений и 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D58A2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9D58A2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извещений в стоимостном выражении.</w:t>
      </w:r>
    </w:p>
    <w:p w14:paraId="5CEE8D96" w14:textId="0E071A81" w:rsidR="003A7FBB" w:rsidRPr="00CE349B" w:rsidRDefault="003F6951" w:rsidP="003F6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 и 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объем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 извещений  о  проведении  элек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ронных закупок в разрезе электронных площадок </w:t>
      </w:r>
      <w:proofErr w:type="gramStart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>приведены</w:t>
      </w:r>
      <w:proofErr w:type="gramEnd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в таблице ниже.</w:t>
      </w:r>
    </w:p>
    <w:p w14:paraId="41908E6C" w14:textId="77777777" w:rsidR="003F6951" w:rsidRPr="00CE349B" w:rsidRDefault="003F6951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943"/>
        <w:gridCol w:w="1843"/>
        <w:gridCol w:w="1701"/>
        <w:gridCol w:w="1985"/>
        <w:gridCol w:w="1665"/>
      </w:tblGrid>
      <w:tr w:rsidR="003F6951" w:rsidRPr="00CE349B" w14:paraId="0D2B5C50" w14:textId="77777777" w:rsidTr="00864E17">
        <w:trPr>
          <w:trHeight w:val="331"/>
        </w:trPr>
        <w:tc>
          <w:tcPr>
            <w:tcW w:w="2943" w:type="dxa"/>
            <w:vMerge w:val="restart"/>
          </w:tcPr>
          <w:p w14:paraId="1F0E0AF5" w14:textId="7846CDAC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Электронная площадка</w:t>
            </w:r>
          </w:p>
        </w:tc>
        <w:tc>
          <w:tcPr>
            <w:tcW w:w="7194" w:type="dxa"/>
            <w:gridSpan w:val="4"/>
          </w:tcPr>
          <w:p w14:paraId="0BF69128" w14:textId="5BAAD3B4" w:rsidR="003F6951" w:rsidRPr="00CE349B" w:rsidRDefault="003F6951" w:rsidP="002135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01.0</w:t>
            </w:r>
            <w:r w:rsidR="00487B14"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2135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 3</w:t>
            </w:r>
            <w:r w:rsidR="00487B14"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2135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2135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3F6951" w:rsidRPr="00CE349B" w14:paraId="45031032" w14:textId="77777777" w:rsidTr="00864E17">
        <w:trPr>
          <w:trHeight w:val="480"/>
        </w:trPr>
        <w:tc>
          <w:tcPr>
            <w:tcW w:w="2943" w:type="dxa"/>
            <w:vMerge/>
          </w:tcPr>
          <w:p w14:paraId="46025E71" w14:textId="77777777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7117E90" w14:textId="6AD668A2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701" w:type="dxa"/>
          </w:tcPr>
          <w:p w14:paraId="63EDDF9A" w14:textId="3E790B4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5" w:type="dxa"/>
          </w:tcPr>
          <w:p w14:paraId="14FE9B23" w14:textId="3AB2E634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 тыс. руб.</w:t>
            </w:r>
          </w:p>
        </w:tc>
        <w:tc>
          <w:tcPr>
            <w:tcW w:w="1665" w:type="dxa"/>
          </w:tcPr>
          <w:p w14:paraId="37A80CE2" w14:textId="7C36369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3F6951" w:rsidRPr="00CE349B" w14:paraId="4F42F939" w14:textId="77777777" w:rsidTr="00864E17">
        <w:tc>
          <w:tcPr>
            <w:tcW w:w="2943" w:type="dxa"/>
          </w:tcPr>
          <w:p w14:paraId="1C9DBB62" w14:textId="76E11C8E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ООО «РТС-тендер»</w:t>
            </w:r>
          </w:p>
        </w:tc>
        <w:tc>
          <w:tcPr>
            <w:tcW w:w="1843" w:type="dxa"/>
            <w:vAlign w:val="center"/>
          </w:tcPr>
          <w:p w14:paraId="68F17A04" w14:textId="7C3D9586" w:rsidR="003F6951" w:rsidRPr="00CE349B" w:rsidRDefault="00AE1492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701" w:type="dxa"/>
            <w:vAlign w:val="center"/>
          </w:tcPr>
          <w:p w14:paraId="6A2A5F56" w14:textId="5BD3C043" w:rsidR="003F6951" w:rsidRPr="00CE349B" w:rsidRDefault="00AE1492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1985" w:type="dxa"/>
            <w:vAlign w:val="center"/>
          </w:tcPr>
          <w:p w14:paraId="728903AA" w14:textId="56C4ED63" w:rsidR="003F6951" w:rsidRPr="00CE349B" w:rsidRDefault="00AE1492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1 826 722,47</w:t>
            </w:r>
          </w:p>
        </w:tc>
        <w:tc>
          <w:tcPr>
            <w:tcW w:w="1665" w:type="dxa"/>
            <w:vAlign w:val="center"/>
          </w:tcPr>
          <w:p w14:paraId="7698640B" w14:textId="47FF6082" w:rsidR="003F6951" w:rsidRPr="00CE349B" w:rsidRDefault="00AE1492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99,98</w:t>
            </w:r>
          </w:p>
        </w:tc>
      </w:tr>
      <w:tr w:rsidR="003F6951" w:rsidRPr="00CE349B" w14:paraId="1A62278A" w14:textId="77777777" w:rsidTr="00864E17">
        <w:trPr>
          <w:trHeight w:val="162"/>
        </w:trPr>
        <w:tc>
          <w:tcPr>
            <w:tcW w:w="2943" w:type="dxa"/>
          </w:tcPr>
          <w:p w14:paraId="575FE9E1" w14:textId="21AC8D5E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8"/>
                <w:szCs w:val="28"/>
                <w:lang w:eastAsia="en-US"/>
              </w:rPr>
              <w:t>АО «ЕЭТП»</w:t>
            </w:r>
          </w:p>
        </w:tc>
        <w:tc>
          <w:tcPr>
            <w:tcW w:w="1843" w:type="dxa"/>
            <w:vAlign w:val="center"/>
          </w:tcPr>
          <w:p w14:paraId="41E245A6" w14:textId="0A8F12FE" w:rsidR="003F6951" w:rsidRPr="00CE349B" w:rsidRDefault="00AE1492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14:paraId="159C4557" w14:textId="6583A740" w:rsidR="003F6951" w:rsidRPr="00CE349B" w:rsidRDefault="00AE1492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1985" w:type="dxa"/>
            <w:vAlign w:val="center"/>
          </w:tcPr>
          <w:p w14:paraId="10D20A3B" w14:textId="1C3E180A" w:rsidR="003F6951" w:rsidRPr="00CE349B" w:rsidRDefault="00AE1492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370,78</w:t>
            </w:r>
          </w:p>
        </w:tc>
        <w:tc>
          <w:tcPr>
            <w:tcW w:w="1665" w:type="dxa"/>
            <w:vAlign w:val="center"/>
          </w:tcPr>
          <w:p w14:paraId="271CE3F6" w14:textId="06B42516" w:rsidR="003F6951" w:rsidRPr="00CE349B" w:rsidRDefault="00AE1492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0,02</w:t>
            </w:r>
          </w:p>
        </w:tc>
      </w:tr>
    </w:tbl>
    <w:p w14:paraId="61B48A9E" w14:textId="5BE4BF3E" w:rsidR="003F6951" w:rsidRDefault="00944B2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BFDD0A2" w14:textId="77777777" w:rsidR="00EE2600" w:rsidRDefault="00EE2600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CCF912" w14:textId="1CE88678" w:rsidR="00081E93" w:rsidRPr="00BC0416" w:rsidRDefault="00EE5F4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F01AE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81E93" w:rsidRPr="001F01AE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44B23" w:rsidRPr="001F01AE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81E93" w:rsidRPr="001F01AE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 в разрезе номенклатуры товаров, работ и услуг</w:t>
      </w:r>
    </w:p>
    <w:p w14:paraId="7C7BE726" w14:textId="77777777" w:rsidR="00081E93" w:rsidRPr="00BC0416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EE17B58" w14:textId="3940713F" w:rsidR="00F77102" w:rsidRPr="00A3674C" w:rsidRDefault="00F77102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В разрезе номенклатуры ОКПД</w:t>
      </w:r>
      <w:proofErr w:type="gramStart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End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 самыми закупаемыми в отчетном периоде 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являлись </w:t>
      </w:r>
      <w:r w:rsidR="00F96933" w:rsidRPr="00BC0416">
        <w:rPr>
          <w:rFonts w:ascii="Times New Roman" w:eastAsia="Times New Roman" w:hAnsi="Times New Roman"/>
          <w:sz w:val="28"/>
          <w:szCs w:val="28"/>
          <w:lang w:eastAsia="en-US"/>
        </w:rPr>
        <w:t>выполнение работ</w:t>
      </w:r>
      <w:r w:rsidR="00E12D4E">
        <w:rPr>
          <w:rFonts w:ascii="Times New Roman" w:eastAsia="Times New Roman" w:hAnsi="Times New Roman"/>
          <w:sz w:val="28"/>
          <w:szCs w:val="28"/>
          <w:lang w:eastAsia="en-US"/>
        </w:rPr>
        <w:t xml:space="preserve"> по </w:t>
      </w:r>
      <w:r w:rsidR="00E12D4E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E12D4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E12D4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12D4E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F96933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E12D4E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F96933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385580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при закупке которых 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>со</w:t>
      </w:r>
      <w:r w:rsidR="00385580" w:rsidRPr="005741AA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тавил </w:t>
      </w:r>
      <w:r w:rsidR="00503757">
        <w:rPr>
          <w:rFonts w:ascii="Times New Roman" w:eastAsia="Times New Roman" w:hAnsi="Times New Roman"/>
          <w:sz w:val="28"/>
          <w:szCs w:val="28"/>
          <w:lang w:eastAsia="en-US"/>
        </w:rPr>
        <w:t>999 261,07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(9</w:t>
      </w:r>
      <w:r w:rsidR="00503757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50375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DF0197" w:rsidRPr="00A3674C"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нных закупок).</w:t>
      </w:r>
    </w:p>
    <w:p w14:paraId="4FFB4084" w14:textId="77777777" w:rsidR="003F627F" w:rsidRPr="00C80D37" w:rsidRDefault="00DF0197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Наи</w:t>
      </w:r>
      <w:r w:rsidR="003F627F" w:rsidRPr="00C80D37">
        <w:rPr>
          <w:rFonts w:ascii="Times New Roman" w:eastAsia="Times New Roman" w:hAnsi="Times New Roman"/>
          <w:sz w:val="28"/>
          <w:szCs w:val="28"/>
          <w:lang w:eastAsia="en-US"/>
        </w:rPr>
        <w:t>большую часть занимаю</w:t>
      </w:r>
      <w:r w:rsidR="00081E93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т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закупк</w:t>
      </w:r>
      <w:r w:rsidR="003F627F" w:rsidRPr="00C80D37">
        <w:rPr>
          <w:rFonts w:ascii="Times New Roman" w:eastAsia="Times New Roman" w:hAnsi="Times New Roman"/>
          <w:sz w:val="28"/>
          <w:szCs w:val="28"/>
          <w:lang w:eastAsia="en-US"/>
        </w:rPr>
        <w:t>и:</w:t>
      </w:r>
    </w:p>
    <w:p w14:paraId="6EE61B80" w14:textId="02FE5322" w:rsidR="00BC0416" w:rsidRPr="00C80D37" w:rsidRDefault="00BC0416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выполнение работ по </w:t>
      </w:r>
      <w:r w:rsidR="00A97780" w:rsidRPr="00A97780">
        <w:rPr>
          <w:rFonts w:ascii="Times New Roman" w:eastAsia="Times New Roman" w:hAnsi="Times New Roman"/>
          <w:sz w:val="28"/>
          <w:szCs w:val="28"/>
          <w:lang w:eastAsia="en-US"/>
        </w:rPr>
        <w:t xml:space="preserve">капитальному ремонту инженерных сетей по </w:t>
      </w:r>
      <w:r w:rsidR="00A97780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</w:t>
      </w:r>
      <w:r w:rsidR="00A97780" w:rsidRPr="00A97780">
        <w:rPr>
          <w:rFonts w:ascii="Times New Roman" w:eastAsia="Times New Roman" w:hAnsi="Times New Roman"/>
          <w:sz w:val="28"/>
          <w:szCs w:val="28"/>
          <w:lang w:eastAsia="en-US"/>
        </w:rPr>
        <w:t xml:space="preserve">ул. Мухина от ул. Пролетарская до ул. </w:t>
      </w:r>
      <w:proofErr w:type="spellStart"/>
      <w:r w:rsidR="00A97780" w:rsidRPr="00A97780">
        <w:rPr>
          <w:rFonts w:ascii="Times New Roman" w:eastAsia="Times New Roman" w:hAnsi="Times New Roman"/>
          <w:sz w:val="28"/>
          <w:szCs w:val="28"/>
          <w:lang w:eastAsia="en-US"/>
        </w:rPr>
        <w:t>Зейская</w:t>
      </w:r>
      <w:proofErr w:type="spellEnd"/>
      <w:r w:rsidR="00A97780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A97780" w:rsidRPr="00A97780">
        <w:rPr>
          <w:rFonts w:ascii="Times New Roman" w:eastAsia="Times New Roman" w:hAnsi="Times New Roman"/>
          <w:sz w:val="28"/>
          <w:szCs w:val="28"/>
          <w:lang w:eastAsia="en-US"/>
        </w:rPr>
        <w:t xml:space="preserve">по ул. Горького от </w:t>
      </w:r>
      <w:r w:rsidR="00A97780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  </w:t>
      </w:r>
      <w:r w:rsidR="00A97780" w:rsidRPr="00A97780">
        <w:rPr>
          <w:rFonts w:ascii="Times New Roman" w:eastAsia="Times New Roman" w:hAnsi="Times New Roman"/>
          <w:sz w:val="28"/>
          <w:szCs w:val="28"/>
          <w:lang w:eastAsia="en-US"/>
        </w:rPr>
        <w:t>ул. Театральная до ул. Калинина</w:t>
      </w:r>
      <w:r w:rsidR="00A9778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5179F5">
        <w:rPr>
          <w:rFonts w:ascii="Times New Roman" w:eastAsia="Times New Roman" w:hAnsi="Times New Roman"/>
          <w:sz w:val="28"/>
          <w:szCs w:val="28"/>
          <w:lang w:eastAsia="en-US"/>
        </w:rPr>
        <w:t>53,0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% или </w:t>
      </w:r>
      <w:r w:rsidR="005179F5">
        <w:rPr>
          <w:rFonts w:ascii="Times New Roman" w:eastAsia="Times New Roman" w:hAnsi="Times New Roman"/>
          <w:sz w:val="28"/>
          <w:szCs w:val="28"/>
          <w:lang w:eastAsia="en-US"/>
        </w:rPr>
        <w:t>529 402,68</w:t>
      </w:r>
      <w:r w:rsid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8211B" w:rsidRPr="00C80D37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5AB60C5" w14:textId="0761420C" w:rsidR="0088211B" w:rsidRPr="00C80D37" w:rsidRDefault="00BC0416" w:rsidP="00C80D37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proofErr w:type="gramStart"/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выполнение </w:t>
      </w:r>
      <w:r w:rsidR="005179F5" w:rsidRPr="005179F5">
        <w:rPr>
          <w:rFonts w:ascii="Times New Roman" w:eastAsia="Times New Roman" w:hAnsi="Times New Roman"/>
          <w:sz w:val="28"/>
          <w:szCs w:val="28"/>
          <w:lang w:eastAsia="en-US"/>
        </w:rPr>
        <w:t>работ по ремонту автомобильной дороги по ул. Ленина от ул. Шевченко до ул. Мухина, от ул. Театральная до ул. Шимановского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5179F5">
        <w:rPr>
          <w:rFonts w:ascii="Times New Roman" w:eastAsia="Times New Roman" w:hAnsi="Times New Roman"/>
          <w:sz w:val="28"/>
          <w:szCs w:val="28"/>
          <w:lang w:eastAsia="en-US"/>
        </w:rPr>
        <w:t>22,9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% или </w:t>
      </w:r>
      <w:r w:rsidR="005179F5">
        <w:rPr>
          <w:rFonts w:ascii="Times New Roman" w:eastAsia="Times New Roman" w:hAnsi="Times New Roman"/>
          <w:sz w:val="28"/>
          <w:szCs w:val="28"/>
          <w:lang w:eastAsia="en-US"/>
        </w:rPr>
        <w:t>228 371,11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="0088211B" w:rsidRPr="00C80D37">
        <w:rPr>
          <w:rFonts w:ascii="Times New Roman" w:eastAsia="Times New Roman" w:hAnsi="Times New Roman"/>
          <w:sz w:val="28"/>
          <w:szCs w:val="28"/>
        </w:rPr>
        <w:t xml:space="preserve"> </w:t>
      </w:r>
      <w:r w:rsidR="00C80D37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Закупка осуществлялась </w:t>
      </w:r>
      <w:r w:rsidR="00C80D37" w:rsidRPr="00C80D37">
        <w:rPr>
          <w:rFonts w:ascii="Times New Roman" w:eastAsia="Times New Roman" w:hAnsi="Times New Roman"/>
          <w:sz w:val="28"/>
          <w:szCs w:val="28"/>
        </w:rPr>
        <w:t xml:space="preserve">по национальному проекту </w:t>
      </w:r>
      <w:r w:rsidR="005179F5" w:rsidRPr="005179F5">
        <w:rPr>
          <w:rFonts w:ascii="Times New Roman" w:eastAsia="Times New Roman" w:hAnsi="Times New Roman"/>
          <w:sz w:val="28"/>
          <w:szCs w:val="28"/>
        </w:rPr>
        <w:t xml:space="preserve">«Безопасные и качественные автомобильные дороги» </w:t>
      </w:r>
      <w:r w:rsidR="00C80D37" w:rsidRPr="00C80D37">
        <w:rPr>
          <w:rFonts w:ascii="Times New Roman" w:eastAsia="Times New Roman" w:hAnsi="Times New Roman"/>
          <w:sz w:val="28"/>
          <w:szCs w:val="28"/>
          <w:lang w:eastAsia="en-US"/>
        </w:rPr>
        <w:t>в рамках</w:t>
      </w:r>
      <w:r w:rsidR="00C80D37" w:rsidRPr="00C80D37">
        <w:rPr>
          <w:rFonts w:ascii="Times New Roman" w:eastAsia="Times New Roman" w:hAnsi="Times New Roman"/>
          <w:sz w:val="28"/>
          <w:szCs w:val="28"/>
        </w:rPr>
        <w:t xml:space="preserve"> </w:t>
      </w:r>
      <w:r w:rsidR="005179F5">
        <w:rPr>
          <w:rFonts w:ascii="Times New Roman" w:eastAsia="Times New Roman" w:hAnsi="Times New Roman"/>
          <w:sz w:val="28"/>
          <w:szCs w:val="28"/>
        </w:rPr>
        <w:t>р</w:t>
      </w:r>
      <w:r w:rsidR="005179F5" w:rsidRPr="005179F5">
        <w:rPr>
          <w:rFonts w:ascii="Times New Roman" w:eastAsia="Times New Roman" w:hAnsi="Times New Roman"/>
          <w:sz w:val="28"/>
          <w:szCs w:val="28"/>
        </w:rPr>
        <w:t>егиональн</w:t>
      </w:r>
      <w:r w:rsidR="005179F5">
        <w:rPr>
          <w:rFonts w:ascii="Times New Roman" w:eastAsia="Times New Roman" w:hAnsi="Times New Roman"/>
          <w:sz w:val="28"/>
          <w:szCs w:val="28"/>
        </w:rPr>
        <w:t>ых</w:t>
      </w:r>
      <w:r w:rsidR="005179F5" w:rsidRPr="005179F5">
        <w:rPr>
          <w:rFonts w:ascii="Times New Roman" w:eastAsia="Times New Roman" w:hAnsi="Times New Roman"/>
          <w:sz w:val="28"/>
          <w:szCs w:val="28"/>
        </w:rPr>
        <w:t xml:space="preserve"> проект</w:t>
      </w:r>
      <w:r w:rsidR="005179F5">
        <w:rPr>
          <w:rFonts w:ascii="Times New Roman" w:eastAsia="Times New Roman" w:hAnsi="Times New Roman"/>
          <w:sz w:val="28"/>
          <w:szCs w:val="28"/>
        </w:rPr>
        <w:t>ов</w:t>
      </w:r>
      <w:r w:rsidR="005179F5" w:rsidRPr="005179F5">
        <w:rPr>
          <w:rFonts w:ascii="Times New Roman" w:eastAsia="Times New Roman" w:hAnsi="Times New Roman"/>
          <w:sz w:val="28"/>
          <w:szCs w:val="28"/>
        </w:rPr>
        <w:t xml:space="preserve"> «Дорожная сеть Амурской области и Благовещенской городской агломерации» и «Общесистемные меры развития дорожного хозяйства»</w:t>
      </w:r>
      <w:r w:rsidR="0088211B" w:rsidRPr="0088211B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14:paraId="44715F7E" w14:textId="5D880CF7" w:rsidR="005741AA" w:rsidRDefault="00A3674C" w:rsidP="002A7514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674C">
        <w:rPr>
          <w:rFonts w:ascii="Times New Roman" w:eastAsia="Times New Roman" w:hAnsi="Times New Roman"/>
          <w:sz w:val="28"/>
          <w:szCs w:val="28"/>
        </w:rPr>
        <w:t>На  втором  месте</w:t>
      </w:r>
      <w:r w:rsidR="00E26FBA">
        <w:rPr>
          <w:rFonts w:ascii="Times New Roman" w:eastAsia="Times New Roman" w:hAnsi="Times New Roman"/>
          <w:sz w:val="28"/>
          <w:szCs w:val="28"/>
        </w:rPr>
        <w:t xml:space="preserve"> </w:t>
      </w:r>
      <w:r w:rsidR="00E26FBA" w:rsidRPr="001E1CEF">
        <w:rPr>
          <w:rFonts w:ascii="Times New Roman" w:eastAsia="Times New Roman" w:hAnsi="Times New Roman"/>
          <w:sz w:val="28"/>
          <w:szCs w:val="28"/>
        </w:rPr>
        <w:t>–</w:t>
      </w:r>
      <w:r w:rsidR="00E26FBA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>
        <w:rPr>
          <w:rFonts w:ascii="Times New Roman" w:eastAsia="Times New Roman" w:hAnsi="Times New Roman"/>
          <w:sz w:val="28"/>
          <w:szCs w:val="28"/>
        </w:rPr>
        <w:t>о</w:t>
      </w:r>
      <w:r w:rsidR="002A7514" w:rsidRPr="002A7514">
        <w:rPr>
          <w:rFonts w:ascii="Times New Roman" w:eastAsia="Times New Roman" w:hAnsi="Times New Roman"/>
          <w:sz w:val="28"/>
          <w:szCs w:val="28"/>
        </w:rPr>
        <w:t>казание услуг по организации доступа к единой системе видеонаблюдения города</w:t>
      </w:r>
      <w:r w:rsidR="00A97780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2A7514">
        <w:rPr>
          <w:rFonts w:ascii="Times New Roman" w:eastAsia="Times New Roman" w:hAnsi="Times New Roman"/>
          <w:sz w:val="28"/>
          <w:szCs w:val="28"/>
        </w:rPr>
        <w:t>Благовещенск</w:t>
      </w:r>
      <w:r w:rsidR="005007FE">
        <w:rPr>
          <w:rFonts w:ascii="Times New Roman" w:eastAsia="Times New Roman" w:hAnsi="Times New Roman"/>
          <w:sz w:val="28"/>
          <w:szCs w:val="28"/>
        </w:rPr>
        <w:t>а</w:t>
      </w:r>
      <w:r w:rsidR="002A751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– </w:t>
      </w:r>
      <w:r w:rsidR="002A7514">
        <w:rPr>
          <w:rFonts w:ascii="Times New Roman" w:eastAsia="Times New Roman" w:hAnsi="Times New Roman"/>
          <w:sz w:val="28"/>
          <w:szCs w:val="28"/>
        </w:rPr>
        <w:t>20 536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,7</w:t>
      </w:r>
      <w:r w:rsidR="002A7514">
        <w:rPr>
          <w:rFonts w:ascii="Times New Roman" w:eastAsia="Times New Roman" w:hAnsi="Times New Roman"/>
          <w:sz w:val="28"/>
          <w:szCs w:val="28"/>
        </w:rPr>
        <w:t>0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 тыс. руб.</w:t>
      </w:r>
      <w:r w:rsidR="002A751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(</w:t>
      </w:r>
      <w:r w:rsidR="007E7C02">
        <w:rPr>
          <w:rFonts w:ascii="Times New Roman" w:eastAsia="Times New Roman" w:hAnsi="Times New Roman"/>
          <w:sz w:val="28"/>
          <w:szCs w:val="28"/>
        </w:rPr>
        <w:t>1,9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%</w:t>
      </w:r>
      <w:r w:rsidR="002A7514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завершенных закупок).</w:t>
      </w:r>
    </w:p>
    <w:p w14:paraId="257C6421" w14:textId="4CD60E22" w:rsidR="002A7514" w:rsidRDefault="001E1CEF" w:rsidP="002A7514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sz w:val="28"/>
          <w:szCs w:val="28"/>
        </w:rPr>
        <w:t xml:space="preserve">На  третьем –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закупк</w:t>
      </w:r>
      <w:r w:rsidR="002A7514">
        <w:rPr>
          <w:rFonts w:ascii="Times New Roman" w:eastAsia="Times New Roman" w:hAnsi="Times New Roman"/>
          <w:sz w:val="28"/>
          <w:szCs w:val="28"/>
        </w:rPr>
        <w:t>а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 на о</w:t>
      </w:r>
      <w:r w:rsidR="002A7514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казание услуг по предоставлению денежных средств (кредита) в виде </w:t>
      </w:r>
      <w:proofErr w:type="spellStart"/>
      <w:r w:rsidR="002A7514" w:rsidRPr="00A3674C">
        <w:rPr>
          <w:rFonts w:ascii="Times New Roman" w:eastAsia="Times New Roman" w:hAnsi="Times New Roman"/>
          <w:sz w:val="28"/>
          <w:szCs w:val="28"/>
          <w:lang w:eastAsia="en-US"/>
        </w:rPr>
        <w:t>невозобновляемой</w:t>
      </w:r>
      <w:proofErr w:type="spellEnd"/>
      <w:r w:rsidR="002A7514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кредитной линии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– </w:t>
      </w:r>
      <w:r w:rsidR="002A7514">
        <w:rPr>
          <w:rFonts w:ascii="Times New Roman" w:eastAsia="Times New Roman" w:hAnsi="Times New Roman"/>
          <w:sz w:val="28"/>
          <w:szCs w:val="28"/>
        </w:rPr>
        <w:t>12 600,00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 xml:space="preserve"> тыс. руб.</w:t>
      </w:r>
      <w:r w:rsidR="002A751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(1,</w:t>
      </w:r>
      <w:r w:rsidR="007E7C02">
        <w:rPr>
          <w:rFonts w:ascii="Times New Roman" w:eastAsia="Times New Roman" w:hAnsi="Times New Roman"/>
          <w:sz w:val="28"/>
          <w:szCs w:val="28"/>
        </w:rPr>
        <w:t>2</w:t>
      </w:r>
      <w:r w:rsidR="002A7514" w:rsidRPr="00A3674C">
        <w:rPr>
          <w:rFonts w:ascii="Times New Roman" w:eastAsia="Times New Roman" w:hAnsi="Times New Roman"/>
          <w:sz w:val="28"/>
          <w:szCs w:val="28"/>
        </w:rPr>
        <w:t>%</w:t>
      </w:r>
      <w:r w:rsidR="002A7514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завершенных закупок).</w:t>
      </w:r>
    </w:p>
    <w:p w14:paraId="58D65D4A" w14:textId="77777777" w:rsidR="00CD7686" w:rsidRPr="001E1CEF" w:rsidRDefault="00CD7686" w:rsidP="005443C0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46CBDF2E" w14:textId="77777777" w:rsidR="00081E93" w:rsidRPr="001E1CEF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Диаграмма ниже отражает сведения об объеме проведенных закупок </w:t>
      </w:r>
      <w:proofErr w:type="gramStart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D6E2F0E" w14:textId="163DD4E2" w:rsidR="002F68C8" w:rsidRPr="001E1CEF" w:rsidRDefault="00081E93" w:rsidP="00F843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>разрезе</w:t>
      </w:r>
      <w:proofErr w:type="gramEnd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 товаров, работ, услуг.</w:t>
      </w:r>
    </w:p>
    <w:p w14:paraId="324B8143" w14:textId="77777777" w:rsidR="00134870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97DA98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4A9E21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4547E21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B9A690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E37B2C9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777AA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AA0BA6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D24DCFF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A3F186D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98D5C1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F4D23E1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D66559D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9EF50EF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D00C60E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1BAC9C6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5DB7DBB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0734FBF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2C6F993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661562B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F337A53" w14:textId="77777777" w:rsidR="001F01AE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E89FA9" w14:textId="77777777" w:rsidR="001F01AE" w:rsidRPr="001E1CEF" w:rsidRDefault="001F01AE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5AAABD4" w14:textId="77777777" w:rsidR="00134870" w:rsidRPr="001E1CEF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C397DB" w14:textId="48C85E1E" w:rsidR="00FC2D2B" w:rsidRPr="00EE5F43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Структура закупок в стоимостном выражении</w:t>
      </w:r>
    </w:p>
    <w:p w14:paraId="49CF80E9" w14:textId="77777777" w:rsidR="00FC2D2B" w:rsidRPr="00FC2D2B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6577834" w14:textId="77777777" w:rsidR="0061747B" w:rsidRPr="009574B9" w:rsidRDefault="0061747B" w:rsidP="008C15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AB3AEE" wp14:editId="470B3A71">
            <wp:extent cx="5924550" cy="82200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8140A2" w14:textId="77777777" w:rsid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3DA34E8" w14:textId="77777777" w:rsidR="00D87205" w:rsidRDefault="00D87205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92A5CAB" w14:textId="77777777" w:rsidR="00AD12CB" w:rsidRDefault="00AD12CB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88DC01D" w14:textId="77777777" w:rsidR="00153718" w:rsidRDefault="00153718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6C70C7" w14:textId="1C5CD88C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DF0197"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Участие поставщиков (подрядчиков, исполнителей) </w:t>
      </w:r>
    </w:p>
    <w:p w14:paraId="282F4043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>в закупках</w:t>
      </w:r>
    </w:p>
    <w:p w14:paraId="37C10622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3151E3F" w14:textId="01CF66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За  отчетный  период  на  участие  в  закупках  подано  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221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 заявк</w:t>
      </w:r>
      <w:r w:rsidR="00F8635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 (на 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4,2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боль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ше аналогичного показателя 20</w:t>
      </w:r>
      <w:r w:rsidR="00DA66F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 –  </w:t>
      </w:r>
      <w:r w:rsidR="00DA66FE">
        <w:rPr>
          <w:rFonts w:ascii="Times New Roman" w:eastAsia="Times New Roman" w:hAnsi="Times New Roman"/>
          <w:sz w:val="28"/>
          <w:szCs w:val="28"/>
          <w:lang w:eastAsia="en-US"/>
        </w:rPr>
        <w:t>212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ед.), из которых 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51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или 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>3,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 не были допущены к участию либо не приняли участия в закупках (за 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 – </w:t>
      </w:r>
      <w:r w:rsidR="00DA66FE">
        <w:rPr>
          <w:rFonts w:ascii="Times New Roman" w:eastAsia="Times New Roman" w:hAnsi="Times New Roman"/>
          <w:sz w:val="28"/>
          <w:szCs w:val="28"/>
          <w:lang w:eastAsia="en-US"/>
        </w:rPr>
        <w:t>59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или </w:t>
      </w:r>
      <w:r w:rsidR="00F20B2A">
        <w:rPr>
          <w:rFonts w:ascii="Times New Roman" w:eastAsia="Times New Roman" w:hAnsi="Times New Roman"/>
          <w:sz w:val="28"/>
          <w:szCs w:val="28"/>
          <w:lang w:eastAsia="en-US"/>
        </w:rPr>
        <w:t>27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75901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%). </w:t>
      </w:r>
      <w:proofErr w:type="gramEnd"/>
    </w:p>
    <w:p w14:paraId="5C360CD5" w14:textId="058D75B8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Среднее количество поданных заявок на участие в закупк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>ах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составляет</w:t>
      </w:r>
      <w:r w:rsidR="003B1B3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3B1B3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FE838DD" w14:textId="77777777" w:rsidR="00E267AF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>реднем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-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>2,</w:t>
      </w:r>
      <w:r w:rsidR="00B030B3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одну процедуру определения поставщика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C235B" w:rsidRPr="00E03F86">
        <w:rPr>
          <w:rFonts w:ascii="Times New Roman" w:eastAsia="Times New Roman" w:hAnsi="Times New Roman"/>
          <w:sz w:val="28"/>
          <w:szCs w:val="28"/>
          <w:lang w:eastAsia="en-US"/>
        </w:rPr>
        <w:t>(подрядчик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C235B" w:rsidRPr="00E03F86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8C235B" w:rsidRPr="00E03F86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717B699B" w14:textId="67A3DDF2" w:rsidR="00E267AF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на участие в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-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0973F32" w14:textId="66EACF43" w:rsidR="00EE5F43" w:rsidRPr="00E03F86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на участие в</w:t>
      </w:r>
      <w:r w:rsidRPr="00E267A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аукцион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электронной форме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-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2,8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906F4BA" w14:textId="77777777" w:rsidR="00E267AF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Тем не менее, н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аиболее  конкурентным  способом  определения  поставщиков  (подрядчиков, исполнителей) является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аукцион</w:t>
      </w:r>
      <w:r w:rsidRP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электронной форме.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EE1F94E" w14:textId="1342F118" w:rsidR="00C17860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C17860" w:rsidRPr="00F43488">
        <w:rPr>
          <w:rFonts w:ascii="Times New Roman" w:eastAsia="Times New Roman" w:hAnsi="Times New Roman"/>
          <w:sz w:val="28"/>
          <w:szCs w:val="28"/>
          <w:lang w:eastAsia="en-US"/>
        </w:rPr>
        <w:t>амое большое количество участников</w:t>
      </w:r>
      <w:r w:rsidR="00C17860"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E7FDA">
        <w:rPr>
          <w:rFonts w:ascii="Times New Roman" w:eastAsia="Times New Roman" w:hAnsi="Times New Roman"/>
          <w:sz w:val="28"/>
          <w:szCs w:val="28"/>
          <w:lang w:eastAsia="en-US"/>
        </w:rPr>
        <w:t xml:space="preserve">принимало участие </w:t>
      </w:r>
      <w:r w:rsid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следующих </w:t>
      </w:r>
      <w:r w:rsidR="00C17860">
        <w:rPr>
          <w:rFonts w:ascii="Times New Roman" w:eastAsia="Times New Roman" w:hAnsi="Times New Roman"/>
          <w:sz w:val="28"/>
          <w:szCs w:val="28"/>
          <w:lang w:eastAsia="en-US"/>
        </w:rPr>
        <w:t>электронных аукционах</w:t>
      </w:r>
      <w:r w:rsidR="00C17860"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</w:p>
    <w:p w14:paraId="3E262E3B" w14:textId="1F1E0821" w:rsidR="00C17860" w:rsidRPr="00DA3BC8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>ыполнение ремонтных работ незаселенных жилых помещений (комнат № 5 площадью 20,7 м</w:t>
      </w:r>
      <w:proofErr w:type="gramStart"/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End"/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, №6 площадью 10,9 м2, №7 площадью 12,5 м2, №27 площадью 9,1 м2, №28 площадью 21,1 м2, №21 площадью 14,8 м2, №22 площадью 14,7 м2, №29 площадью 12,1 м2, №30 площадью 11,8 м2, №18 площадью 12,9 м2) в общежитии переданных по договору безвозмездного пользования расположенных в здании по адресу: г. Благовещенск, ул. </w:t>
      </w:r>
      <w:proofErr w:type="gramStart"/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>Пионерская</w:t>
      </w:r>
      <w:proofErr w:type="gramEnd"/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, д. 51 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>-  было подано 1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59C861E0" w14:textId="43170375" w:rsidR="00C17860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ремонту внутренних стен в здании МБУК 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>МИБС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, расположенного по адресу: г. Благовещенск, ул. </w:t>
      </w:r>
      <w:proofErr w:type="gramStart"/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>Институтская</w:t>
      </w:r>
      <w:proofErr w:type="gramEnd"/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,10/1 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>-  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116CFBEA" w14:textId="5BE1602E" w:rsidR="00973DFB" w:rsidRDefault="00973DFB" w:rsidP="00973D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на 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>оставк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 компьютерной техники (моноблок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973DF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>-  1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775FC369" w14:textId="1797EE5E" w:rsidR="00C17860" w:rsidRPr="00F43488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 в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</w:t>
      </w:r>
      <w:r w:rsidR="00DA30CD" w:rsidRPr="00DA30CD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ремонту зрительного зала </w:t>
      </w: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DA30CD">
        <w:rPr>
          <w:rFonts w:ascii="Times New Roman" w:eastAsia="Times New Roman" w:hAnsi="Times New Roman"/>
          <w:sz w:val="28"/>
          <w:szCs w:val="28"/>
          <w:lang w:eastAsia="en-US"/>
        </w:rPr>
        <w:t>0 заявок.</w:t>
      </w:r>
    </w:p>
    <w:p w14:paraId="156CA61A" w14:textId="3131874D" w:rsidR="00E267AF" w:rsidRPr="00E03F86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самым востребованным способом определения поставщиков (подрядчиков, исполнителей)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тоже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был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аукцион</w:t>
      </w:r>
      <w:r w:rsidRP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электронной форме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2,7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 на 1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аукцион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1EAEF3B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689"/>
        <w:gridCol w:w="1847"/>
        <w:gridCol w:w="1847"/>
        <w:gridCol w:w="2764"/>
      </w:tblGrid>
      <w:tr w:rsidR="00EE5F43" w:rsidRPr="00635F15" w14:paraId="31395B37" w14:textId="77777777" w:rsidTr="00CC6734">
        <w:trPr>
          <w:trHeight w:val="765"/>
          <w:jc w:val="center"/>
        </w:trPr>
        <w:tc>
          <w:tcPr>
            <w:tcW w:w="1818" w:type="pct"/>
            <w:vMerge w:val="restart"/>
            <w:vAlign w:val="center"/>
          </w:tcPr>
          <w:p w14:paraId="5CE8A743" w14:textId="77777777" w:rsidR="00EE5F43" w:rsidRPr="003835D6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B940C7" w14:textId="5569C77E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20" w:type="pct"/>
            <w:gridSpan w:val="2"/>
          </w:tcPr>
          <w:p w14:paraId="1FF6CFA9" w14:textId="64067E36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EE5F4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оличество поданных участниками заявок, ед.</w:t>
            </w:r>
          </w:p>
        </w:tc>
        <w:tc>
          <w:tcPr>
            <w:tcW w:w="1362" w:type="pct"/>
            <w:vMerge w:val="restart"/>
          </w:tcPr>
          <w:p w14:paraId="630AA79A" w14:textId="77777777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Доля количества заявок</w:t>
            </w:r>
          </w:p>
          <w:p w14:paraId="2ACCB7A8" w14:textId="77777777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январе-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</w:p>
          <w:p w14:paraId="61E1DF1E" w14:textId="0AAE736A" w:rsidR="00EE5F43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  по отношению                                        к январю-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марту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2020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090457" w:rsidRPr="00635F15" w14:paraId="6D36A6EB" w14:textId="77777777" w:rsidTr="00CC6734">
        <w:trPr>
          <w:trHeight w:val="533"/>
          <w:jc w:val="center"/>
        </w:trPr>
        <w:tc>
          <w:tcPr>
            <w:tcW w:w="1818" w:type="pct"/>
            <w:vMerge/>
            <w:vAlign w:val="center"/>
          </w:tcPr>
          <w:p w14:paraId="006D143E" w14:textId="77777777" w:rsidR="00090457" w:rsidRPr="003835D6" w:rsidRDefault="0009045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0" w:type="pct"/>
          </w:tcPr>
          <w:p w14:paraId="73AE3808" w14:textId="3B852CBE" w:rsidR="00090457" w:rsidRPr="003835D6" w:rsidRDefault="007C4A53" w:rsidP="0033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331279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 w:rsidR="00331279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10" w:type="pct"/>
          </w:tcPr>
          <w:p w14:paraId="7DA87CDF" w14:textId="2EA5C8C2" w:rsidR="00090457" w:rsidRPr="003835D6" w:rsidRDefault="007C4A53" w:rsidP="0033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</w:t>
            </w:r>
            <w:r w:rsidR="00331279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33127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362" w:type="pct"/>
            <w:vMerge/>
          </w:tcPr>
          <w:p w14:paraId="43CB66E1" w14:textId="77777777" w:rsidR="00090457" w:rsidRPr="003835D6" w:rsidRDefault="0009045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E5F43" w:rsidRPr="00635F15" w14:paraId="2DA66CD6" w14:textId="77777777" w:rsidTr="000055E9">
        <w:trPr>
          <w:trHeight w:val="229"/>
          <w:jc w:val="center"/>
        </w:trPr>
        <w:tc>
          <w:tcPr>
            <w:tcW w:w="1818" w:type="pct"/>
            <w:vAlign w:val="center"/>
          </w:tcPr>
          <w:p w14:paraId="64AE75C3" w14:textId="77777777" w:rsidR="00EE5F43" w:rsidRPr="003835D6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ВСЕГО, </w:t>
            </w:r>
          </w:p>
          <w:p w14:paraId="13E8A55D" w14:textId="77777777" w:rsidR="00EE5F43" w:rsidRPr="003835D6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10" w:type="pct"/>
            <w:vAlign w:val="center"/>
          </w:tcPr>
          <w:p w14:paraId="5F1CAD5C" w14:textId="7AB0C9E6" w:rsidR="00EE5F43" w:rsidRPr="003835D6" w:rsidRDefault="00331279" w:rsidP="00005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910" w:type="pct"/>
            <w:vAlign w:val="center"/>
          </w:tcPr>
          <w:p w14:paraId="6A3394AF" w14:textId="4FDC4CC0" w:rsidR="00EE5F43" w:rsidRPr="003835D6" w:rsidRDefault="00331279" w:rsidP="00005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362" w:type="pct"/>
            <w:vAlign w:val="center"/>
          </w:tcPr>
          <w:p w14:paraId="57DBFDDA" w14:textId="5E32DE57" w:rsidR="00EE5F43" w:rsidRPr="003835D6" w:rsidRDefault="00331279" w:rsidP="009B6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104,2</w:t>
            </w:r>
            <w:r w:rsidR="00EE5F43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E5F43" w:rsidRPr="00635F15" w14:paraId="65F840D5" w14:textId="77777777" w:rsidTr="00CC6734">
        <w:trPr>
          <w:trHeight w:val="490"/>
          <w:jc w:val="center"/>
        </w:trPr>
        <w:tc>
          <w:tcPr>
            <w:tcW w:w="1818" w:type="pct"/>
            <w:vAlign w:val="center"/>
            <w:hideMark/>
          </w:tcPr>
          <w:p w14:paraId="64AA2302" w14:textId="77777777" w:rsidR="00EE5F43" w:rsidRPr="003835D6" w:rsidRDefault="00EE5F43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открытый конкурс в электронной форме</w:t>
            </w:r>
          </w:p>
        </w:tc>
        <w:tc>
          <w:tcPr>
            <w:tcW w:w="910" w:type="pct"/>
            <w:vAlign w:val="center"/>
          </w:tcPr>
          <w:p w14:paraId="6E0DF8B0" w14:textId="6B3E74E3" w:rsidR="00EE5F43" w:rsidRPr="003835D6" w:rsidRDefault="00331279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910" w:type="pct"/>
            <w:vAlign w:val="center"/>
          </w:tcPr>
          <w:p w14:paraId="290A6689" w14:textId="517935F8" w:rsidR="00EE5F43" w:rsidRPr="003835D6" w:rsidRDefault="00331279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1362" w:type="pct"/>
            <w:vAlign w:val="center"/>
          </w:tcPr>
          <w:p w14:paraId="0F0C4D25" w14:textId="3189FD50" w:rsidR="00EE5F43" w:rsidRPr="003835D6" w:rsidRDefault="00331279" w:rsidP="009B619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3,6 раза</w:t>
            </w:r>
          </w:p>
        </w:tc>
      </w:tr>
      <w:tr w:rsidR="00EE5F43" w:rsidRPr="00635F15" w14:paraId="617B676E" w14:textId="77777777" w:rsidTr="000055E9">
        <w:trPr>
          <w:trHeight w:val="706"/>
          <w:jc w:val="center"/>
        </w:trPr>
        <w:tc>
          <w:tcPr>
            <w:tcW w:w="1818" w:type="pct"/>
            <w:vAlign w:val="center"/>
            <w:hideMark/>
          </w:tcPr>
          <w:p w14:paraId="7FDC14A6" w14:textId="58630A35" w:rsidR="003312BB" w:rsidRPr="003835D6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910" w:type="pct"/>
            <w:vAlign w:val="center"/>
          </w:tcPr>
          <w:p w14:paraId="39112C60" w14:textId="56171DBA" w:rsidR="00EE5F43" w:rsidRPr="003835D6" w:rsidRDefault="00331279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10" w:type="pct"/>
            <w:vAlign w:val="center"/>
          </w:tcPr>
          <w:p w14:paraId="62E03351" w14:textId="32184B3A" w:rsidR="00EE5F43" w:rsidRPr="003835D6" w:rsidRDefault="00331279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362" w:type="pct"/>
            <w:vAlign w:val="center"/>
          </w:tcPr>
          <w:p w14:paraId="4E1D9F77" w14:textId="26AD458C" w:rsidR="00EE5F43" w:rsidRPr="003835D6" w:rsidRDefault="00331279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B619D" w:rsidRPr="003835D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EE7CA8" w:rsidRPr="003835D6">
              <w:rPr>
                <w:rFonts w:ascii="Times New Roman" w:eastAsia="Times New Roman" w:hAnsi="Times New Roman"/>
                <w:sz w:val="24"/>
                <w:szCs w:val="24"/>
              </w:rPr>
              <w:t>,1</w:t>
            </w:r>
            <w:r w:rsidR="00EE5F43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14:paraId="24BF376A" w14:textId="77777777" w:rsidR="003971C9" w:rsidRDefault="003971C9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28715AB" w14:textId="77777777" w:rsidR="007E3B3D" w:rsidRPr="00635F15" w:rsidRDefault="007E3B3D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F90671F" w14:textId="1F7F2F21" w:rsidR="00DF0197" w:rsidRPr="00F2645A" w:rsidRDefault="00DF0197" w:rsidP="00DF01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 xml:space="preserve">2.6. </w:t>
      </w:r>
      <w:proofErr w:type="spellStart"/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t>Конкурентность</w:t>
      </w:r>
      <w:proofErr w:type="spellEnd"/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61D10F1D" w14:textId="77777777" w:rsidR="00DF0197" w:rsidRPr="00F2645A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50BD9F" w14:textId="31B54281" w:rsidR="00B1425B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>Наиболее конкурентные закупки осуществля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в ценовом диапазоне от </w:t>
      </w:r>
      <w:r w:rsidR="005F735B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5E20AD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до </w:t>
      </w:r>
      <w:r w:rsidR="005F735B">
        <w:rPr>
          <w:rFonts w:ascii="Times New Roman" w:eastAsia="Times New Roman" w:hAnsi="Times New Roman"/>
          <w:sz w:val="28"/>
          <w:szCs w:val="28"/>
          <w:lang w:eastAsia="en-US"/>
        </w:rPr>
        <w:t>2 1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06D18" w:rsidRPr="00F2645A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</w:p>
    <w:p w14:paraId="4A2301EF" w14:textId="77777777" w:rsidR="00F06D18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C0E0292" w14:textId="77777777" w:rsidR="00F06D18" w:rsidRPr="00635F15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6FAC325" w14:textId="17793E1E" w:rsidR="00DF0197" w:rsidRPr="00502205" w:rsidRDefault="00DF0197" w:rsidP="00DF0197">
      <w:pPr>
        <w:autoSpaceDE w:val="0"/>
        <w:autoSpaceDN w:val="0"/>
        <w:adjustRightInd w:val="0"/>
        <w:spacing w:before="120" w:line="36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502205">
        <w:rPr>
          <w:rFonts w:ascii="Times New Roman" w:eastAsia="Times New Roman" w:hAnsi="Times New Roman"/>
          <w:b/>
          <w:i/>
          <w:sz w:val="28"/>
          <w:szCs w:val="28"/>
        </w:rPr>
        <w:t xml:space="preserve">Анализ </w:t>
      </w:r>
      <w:proofErr w:type="spellStart"/>
      <w:r w:rsidRPr="00502205">
        <w:rPr>
          <w:rFonts w:ascii="Times New Roman" w:eastAsia="Times New Roman" w:hAnsi="Times New Roman"/>
          <w:b/>
          <w:i/>
          <w:sz w:val="28"/>
          <w:szCs w:val="28"/>
        </w:rPr>
        <w:t>конкурентности</w:t>
      </w:r>
      <w:proofErr w:type="spellEnd"/>
      <w:r w:rsidR="00B1425B" w:rsidRPr="00502205">
        <w:rPr>
          <w:b/>
        </w:rPr>
        <w:t xml:space="preserve"> </w:t>
      </w:r>
      <w:r w:rsidR="00B1425B" w:rsidRPr="00502205">
        <w:rPr>
          <w:rFonts w:ascii="Times New Roman" w:eastAsia="Times New Roman" w:hAnsi="Times New Roman"/>
          <w:b/>
          <w:i/>
          <w:sz w:val="28"/>
          <w:szCs w:val="28"/>
        </w:rPr>
        <w:t>по среднему количеству заявок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89"/>
        <w:gridCol w:w="2268"/>
        <w:gridCol w:w="2053"/>
        <w:gridCol w:w="2581"/>
      </w:tblGrid>
      <w:tr w:rsidR="00DF0197" w:rsidRPr="00502205" w14:paraId="27EB8B03" w14:textId="77777777" w:rsidTr="00AD7AD4">
        <w:trPr>
          <w:trHeight w:val="765"/>
        </w:trPr>
        <w:tc>
          <w:tcPr>
            <w:tcW w:w="1580" w:type="pct"/>
            <w:vMerge w:val="restart"/>
            <w:vAlign w:val="center"/>
          </w:tcPr>
          <w:p w14:paraId="4B51BA3A" w14:textId="380A2CFF" w:rsidR="00DF0197" w:rsidRPr="003835D6" w:rsidRDefault="00DF0197" w:rsidP="00BF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141" w:type="pct"/>
            <w:gridSpan w:val="2"/>
          </w:tcPr>
          <w:p w14:paraId="196213FF" w14:textId="77777777" w:rsidR="00DF0197" w:rsidRPr="003835D6" w:rsidRDefault="00DF0197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Среднее количество участников закупки на одну конкурентную процедуру</w:t>
            </w:r>
          </w:p>
        </w:tc>
        <w:tc>
          <w:tcPr>
            <w:tcW w:w="1279" w:type="pct"/>
            <w:vMerge w:val="restart"/>
          </w:tcPr>
          <w:p w14:paraId="62A5D7B4" w14:textId="198835C6" w:rsidR="00DF0197" w:rsidRPr="003835D6" w:rsidRDefault="00EF457E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F019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оля количества заявок</w:t>
            </w:r>
          </w:p>
          <w:p w14:paraId="5C2EDD2D" w14:textId="77777777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январе-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</w:p>
          <w:p w14:paraId="333F8C06" w14:textId="0CE7F186" w:rsidR="00DF0197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  по отношению                                        к январю-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марту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2020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AD7AD4" w:rsidRPr="00502205" w14:paraId="76C7BDDE" w14:textId="77777777" w:rsidTr="00AD7AD4">
        <w:trPr>
          <w:trHeight w:val="740"/>
        </w:trPr>
        <w:tc>
          <w:tcPr>
            <w:tcW w:w="1580" w:type="pct"/>
            <w:vMerge/>
            <w:vAlign w:val="center"/>
          </w:tcPr>
          <w:p w14:paraId="1240BAD9" w14:textId="77777777" w:rsidR="00AD7AD4" w:rsidRPr="003835D6" w:rsidRDefault="00AD7AD4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pct"/>
          </w:tcPr>
          <w:p w14:paraId="584CD89E" w14:textId="452602BF" w:rsidR="00AD7AD4" w:rsidRPr="003835D6" w:rsidRDefault="00AD7AD4" w:rsidP="00090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017" w:type="pct"/>
          </w:tcPr>
          <w:p w14:paraId="171F11AC" w14:textId="77406E4B" w:rsidR="00AD7AD4" w:rsidRPr="003835D6" w:rsidRDefault="00AD7AD4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9" w:type="pct"/>
            <w:vMerge/>
          </w:tcPr>
          <w:p w14:paraId="1DF5B905" w14:textId="77777777" w:rsidR="00AD7AD4" w:rsidRPr="003835D6" w:rsidRDefault="00AD7AD4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DF0197" w:rsidRPr="00502205" w14:paraId="54CF1B7E" w14:textId="77777777" w:rsidTr="00AD7AD4">
        <w:trPr>
          <w:trHeight w:val="490"/>
        </w:trPr>
        <w:tc>
          <w:tcPr>
            <w:tcW w:w="1580" w:type="pct"/>
            <w:vAlign w:val="center"/>
            <w:hideMark/>
          </w:tcPr>
          <w:p w14:paraId="67CBF1AC" w14:textId="56C09E33" w:rsidR="00DF0197" w:rsidRPr="003835D6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открытый конкурс в электронной форме</w:t>
            </w:r>
          </w:p>
        </w:tc>
        <w:tc>
          <w:tcPr>
            <w:tcW w:w="1124" w:type="pct"/>
            <w:vAlign w:val="center"/>
          </w:tcPr>
          <w:p w14:paraId="16032F46" w14:textId="62990936" w:rsidR="00DF0197" w:rsidRPr="003835D6" w:rsidRDefault="00AD7AD4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017" w:type="pct"/>
            <w:vAlign w:val="center"/>
          </w:tcPr>
          <w:p w14:paraId="13395777" w14:textId="2C055311" w:rsidR="00DF0197" w:rsidRPr="003835D6" w:rsidRDefault="00AD7AD4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9" w:type="pct"/>
            <w:vAlign w:val="center"/>
          </w:tcPr>
          <w:p w14:paraId="19DD2B34" w14:textId="43ECE1FD" w:rsidR="00DF0197" w:rsidRPr="003835D6" w:rsidRDefault="00AD7AD4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176,5</w:t>
            </w:r>
            <w:r w:rsidR="00553CDF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DF0197" w:rsidRPr="00502205" w14:paraId="3C92A45E" w14:textId="77777777" w:rsidTr="00AD7AD4">
        <w:trPr>
          <w:trHeight w:val="767"/>
        </w:trPr>
        <w:tc>
          <w:tcPr>
            <w:tcW w:w="1580" w:type="pct"/>
            <w:vAlign w:val="center"/>
          </w:tcPr>
          <w:p w14:paraId="285E940E" w14:textId="2F0628A0" w:rsidR="00DF0197" w:rsidRPr="003835D6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1124" w:type="pct"/>
            <w:vAlign w:val="center"/>
          </w:tcPr>
          <w:p w14:paraId="4F62AA69" w14:textId="2CDC5AB1" w:rsidR="00DF0197" w:rsidRPr="003835D6" w:rsidRDefault="00AD7AD4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017" w:type="pct"/>
            <w:vAlign w:val="center"/>
          </w:tcPr>
          <w:p w14:paraId="1730695F" w14:textId="232AB08B" w:rsidR="00DF0197" w:rsidRPr="003835D6" w:rsidRDefault="00DF0197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AD7AD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9" w:type="pct"/>
            <w:vAlign w:val="center"/>
          </w:tcPr>
          <w:p w14:paraId="37471237" w14:textId="1D77C279" w:rsidR="00DF0197" w:rsidRPr="003835D6" w:rsidRDefault="00AD7AD4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103,7</w:t>
            </w:r>
            <w:r w:rsidR="007F6C85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DF0197" w:rsidRPr="00502205" w14:paraId="380DEF4A" w14:textId="77777777" w:rsidTr="00AD7AD4">
        <w:trPr>
          <w:trHeight w:val="481"/>
        </w:trPr>
        <w:tc>
          <w:tcPr>
            <w:tcW w:w="1580" w:type="pct"/>
            <w:vAlign w:val="center"/>
          </w:tcPr>
          <w:p w14:paraId="1CC3A73C" w14:textId="77777777" w:rsidR="00DF0197" w:rsidRPr="003835D6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среднем по всем способам:</w:t>
            </w:r>
          </w:p>
        </w:tc>
        <w:tc>
          <w:tcPr>
            <w:tcW w:w="1124" w:type="pct"/>
            <w:vAlign w:val="center"/>
          </w:tcPr>
          <w:p w14:paraId="18F36A70" w14:textId="5B2F221D" w:rsidR="00DF0197" w:rsidRPr="003835D6" w:rsidRDefault="00AD7AD4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017" w:type="pct"/>
            <w:vAlign w:val="center"/>
          </w:tcPr>
          <w:p w14:paraId="4D4702A9" w14:textId="482F96C5" w:rsidR="00DF0197" w:rsidRPr="003835D6" w:rsidRDefault="007F6C85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A76178" w:rsidRPr="003835D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9" w:type="pct"/>
            <w:vAlign w:val="center"/>
          </w:tcPr>
          <w:p w14:paraId="383DDB2C" w14:textId="578E8032" w:rsidR="00DF0197" w:rsidRPr="003835D6" w:rsidRDefault="00AD7AD4" w:rsidP="00EF4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107,7</w:t>
            </w:r>
            <w:r w:rsidR="007F6C85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14:paraId="7E5E715C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ACE71F7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FD05CB0" w14:textId="16F5D70F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785BBB"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7</w:t>
      </w: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. Открытые конкурентные процедуры определения поставщиков</w:t>
      </w:r>
    </w:p>
    <w:p w14:paraId="67808FD2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(подрядчиков, исполнителей), </w:t>
      </w:r>
      <w:proofErr w:type="gramStart"/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признанные</w:t>
      </w:r>
      <w:proofErr w:type="gramEnd"/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несостоявшимися</w:t>
      </w:r>
    </w:p>
    <w:p w14:paraId="417B032B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72AEE26" w14:textId="125B273D" w:rsidR="004B5000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проведенных  процедур  определения  поставщиков  (подрядчиков,  исполнителей)  несостоявшимися  признаны 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40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</w:t>
      </w:r>
      <w:r w:rsidR="009873B3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к общим объемом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1 062 027,74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, что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на 11,1% </w:t>
      </w:r>
      <w:r w:rsidR="00F2645A" w:rsidRPr="00A30F0E">
        <w:rPr>
          <w:rFonts w:ascii="Times New Roman" w:eastAsia="Times New Roman" w:hAnsi="Times New Roman"/>
          <w:sz w:val="28"/>
          <w:szCs w:val="28"/>
          <w:lang w:eastAsia="en-US"/>
        </w:rPr>
        <w:t>ниже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показателя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45 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>закуп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на 28,8% ниже  -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в стоимостном выражении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1 490 623,81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руб.).</w:t>
      </w:r>
    </w:p>
    <w:p w14:paraId="006DDE86" w14:textId="471E46EC" w:rsidR="007608C4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Доля  несостоявшихся  закупок  от  общего  количества  и  </w:t>
      </w:r>
      <w:proofErr w:type="gramStart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объ</w:t>
      </w:r>
      <w:r w:rsidR="00532B0D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ма</w:t>
      </w:r>
      <w:proofErr w:type="gramEnd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в отчетном периоде извещений составила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36,7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58,1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, соотве</w:t>
      </w:r>
      <w:r w:rsidR="007B03EE" w:rsidRPr="00A30F0E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7819576" w14:textId="608D4C6B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37,5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EE3878" w:rsidRPr="00EE387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ед.) от общего количества несостоявшихся закупок приходится на долю процедур определения поставщик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</w:t>
      </w:r>
      <w:r w:rsidR="00D636D0" w:rsidRPr="00EE3878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),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проведения 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заключены контракты, но при этом они были признаны несостоявшимися по причине подачи или допуска одной заявки. </w:t>
      </w:r>
    </w:p>
    <w:p w14:paraId="1DB8E6A5" w14:textId="49ABE6DF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Количество несостоявшихся  процедур, по результатам проведения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контракты не были заключены, составило 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 (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22,9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объявленных в 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процедур).</w:t>
      </w:r>
    </w:p>
    <w:p w14:paraId="575A74DA" w14:textId="4E7DE6B0" w:rsidR="00682562" w:rsidRPr="004B5000" w:rsidRDefault="00682562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 xml:space="preserve">10,0% </w:t>
      </w:r>
      <w:r w:rsidR="00AB45CE"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несостоявшихся  процедур 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определения </w:t>
      </w:r>
      <w:r w:rsidR="00B97CEB" w:rsidRPr="00B97CEB">
        <w:rPr>
          <w:rFonts w:ascii="Times New Roman" w:eastAsia="Times New Roman" w:hAnsi="Times New Roman"/>
          <w:sz w:val="28"/>
          <w:szCs w:val="28"/>
        </w:rPr>
        <w:t>поставщиков (подрядчиков, исполнителей)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- это </w:t>
      </w:r>
      <w:r w:rsidR="00AB45CE"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AB45CE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B45CE"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 w:rsidR="00AB45CE">
        <w:rPr>
          <w:rFonts w:ascii="Times New Roman" w:eastAsia="MS Mincho" w:hAnsi="Times New Roman"/>
          <w:sz w:val="28"/>
          <w:szCs w:val="28"/>
          <w:lang w:eastAsia="ja-JP"/>
        </w:rPr>
        <w:t>ы</w:t>
      </w:r>
      <w:r w:rsidR="00AB45CE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25D2875" w14:textId="77777777" w:rsidR="00517E97" w:rsidRPr="004B5000" w:rsidRDefault="00517E9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C31A1F6" w14:textId="7BCEF9BE" w:rsidR="00517E97" w:rsidRPr="004B5000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8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 Экономия бюджетных средств</w:t>
      </w:r>
    </w:p>
    <w:p w14:paraId="371F2E5D" w14:textId="77777777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ABD370" w14:textId="23B201DA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осуществления  закупок экономи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бюджетных средств в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1 квартале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48 278,36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составляет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4,5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% от НМЦ</w:t>
      </w:r>
      <w:r w:rsidR="00D05577" w:rsidRPr="004B5000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проведенных закупок.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За 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1 квартал</w:t>
      </w:r>
      <w:r w:rsidR="00163EA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577909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объем экономии составил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4 470,47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(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3E3B8F" w:rsidRPr="004B5000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>% от НМЦК).</w:t>
      </w:r>
    </w:p>
    <w:p w14:paraId="65D92BB2" w14:textId="687CD6FD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Экономическая эффективность по результатам завершенных определений поставщиков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(подр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ядчико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4,2</w:t>
      </w:r>
      <w:r w:rsidR="00FB51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>процентны</w:t>
      </w:r>
      <w:r w:rsidR="00163EA6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 xml:space="preserve"> пункт</w:t>
      </w:r>
      <w:r w:rsidR="0057790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CAF1D57" w14:textId="32AF8772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 диаграмме представлена объемная доля экономии в разрезе способов определения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поставщиков (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ядчиков,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832BF6" w14:textId="77777777" w:rsidR="00B72C5D" w:rsidRDefault="00B72C5D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5055EF6" w14:textId="18F63643" w:rsidR="002E3465" w:rsidRPr="005F1227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экономии по результатам закупок</w:t>
      </w:r>
    </w:p>
    <w:p w14:paraId="0E9B8030" w14:textId="576E4738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F517D7E" w14:textId="28073551" w:rsidR="002E3465" w:rsidRDefault="00EA4799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795259D" wp14:editId="20815C9C">
            <wp:extent cx="5269423" cy="3200400"/>
            <wp:effectExtent l="0" t="0" r="2667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480EE2" w14:textId="77777777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F7EF937" w14:textId="77777777" w:rsidR="00E93951" w:rsidRDefault="00E93951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15833A" w14:textId="39F35437" w:rsidR="002E3465" w:rsidRPr="002E3465" w:rsidRDefault="002E3465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Наибольшая экономия в отчетном периоде была достигнута по итогам проведения электронных  аукционов  и составила </w:t>
      </w:r>
      <w:r w:rsidR="00321FEE">
        <w:rPr>
          <w:rFonts w:ascii="Times New Roman" w:eastAsia="Times New Roman" w:hAnsi="Times New Roman"/>
          <w:sz w:val="28"/>
          <w:szCs w:val="28"/>
          <w:lang w:eastAsia="en-US"/>
        </w:rPr>
        <w:t>39 738,3</w:t>
      </w:r>
      <w:r w:rsidR="00577909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, по итогам </w:t>
      </w:r>
    </w:p>
    <w:p w14:paraId="3B6FD236" w14:textId="127E1EC5" w:rsidR="002E3465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проведения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открытых конкурсов в электронной форме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321FEE">
        <w:rPr>
          <w:rFonts w:ascii="Times New Roman" w:eastAsia="Times New Roman" w:hAnsi="Times New Roman"/>
          <w:sz w:val="28"/>
          <w:szCs w:val="28"/>
          <w:lang w:eastAsia="en-US"/>
        </w:rPr>
        <w:t>8 540,00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63889A20" w14:textId="298E1AE3" w:rsidR="002717AA" w:rsidRPr="002717AA" w:rsidRDefault="002717AA" w:rsidP="002717AA">
      <w:pPr>
        <w:tabs>
          <w:tab w:val="left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2717AA">
        <w:rPr>
          <w:rFonts w:ascii="Times New Roman" w:eastAsia="Times New Roman" w:hAnsi="Times New Roman"/>
          <w:sz w:val="28"/>
          <w:szCs w:val="28"/>
        </w:rPr>
        <w:t>роме того, экономия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sz w:val="28"/>
          <w:szCs w:val="28"/>
        </w:rPr>
        <w:t>от проведения электронн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аукцион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2717AA">
        <w:rPr>
          <w:rFonts w:ascii="Times New Roman" w:eastAsia="Times New Roman" w:hAnsi="Times New Roman"/>
          <w:sz w:val="28"/>
          <w:szCs w:val="28"/>
        </w:rPr>
        <w:t>по цене единицы услуги</w:t>
      </w:r>
      <w:r w:rsidR="002D0C8C">
        <w:rPr>
          <w:rFonts w:ascii="Times New Roman" w:eastAsia="Times New Roman" w:hAnsi="Times New Roman"/>
          <w:sz w:val="28"/>
          <w:szCs w:val="28"/>
        </w:rPr>
        <w:t>, работы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составила </w:t>
      </w:r>
      <w:r w:rsidR="00321FEE">
        <w:rPr>
          <w:rFonts w:ascii="Times New Roman" w:eastAsia="Times New Roman" w:hAnsi="Times New Roman"/>
          <w:sz w:val="28"/>
          <w:szCs w:val="28"/>
        </w:rPr>
        <w:t>1 458,35</w:t>
      </w:r>
      <w:r w:rsidR="002D0C8C">
        <w:rPr>
          <w:rFonts w:ascii="Times New Roman" w:eastAsia="Times New Roman" w:hAnsi="Times New Roman"/>
          <w:sz w:val="28"/>
          <w:szCs w:val="28"/>
        </w:rPr>
        <w:t xml:space="preserve"> тыс.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руб. (</w:t>
      </w:r>
      <w:r w:rsidR="00321FEE">
        <w:rPr>
          <w:rFonts w:ascii="Times New Roman" w:eastAsia="Times New Roman" w:hAnsi="Times New Roman"/>
          <w:sz w:val="28"/>
          <w:szCs w:val="28"/>
        </w:rPr>
        <w:t>73,0</w:t>
      </w:r>
      <w:r w:rsidRPr="002717AA">
        <w:rPr>
          <w:rFonts w:ascii="Times New Roman" w:eastAsia="Times New Roman" w:hAnsi="Times New Roman"/>
          <w:sz w:val="28"/>
          <w:szCs w:val="28"/>
        </w:rPr>
        <w:t>% от начальн</w:t>
      </w:r>
      <w:r w:rsidR="002D0C8C">
        <w:rPr>
          <w:rFonts w:ascii="Times New Roman" w:eastAsia="Times New Roman" w:hAnsi="Times New Roman"/>
          <w:sz w:val="28"/>
          <w:szCs w:val="28"/>
        </w:rPr>
        <w:t>ых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цен единиц услуги</w:t>
      </w:r>
      <w:r w:rsidR="002D0C8C">
        <w:rPr>
          <w:rFonts w:ascii="Times New Roman" w:eastAsia="Times New Roman" w:hAnsi="Times New Roman"/>
          <w:sz w:val="28"/>
          <w:szCs w:val="28"/>
        </w:rPr>
        <w:t>, работы</w:t>
      </w:r>
      <w:r w:rsidRPr="002717AA">
        <w:rPr>
          <w:rFonts w:ascii="Times New Roman" w:eastAsia="Times New Roman" w:hAnsi="Times New Roman"/>
          <w:sz w:val="28"/>
          <w:szCs w:val="28"/>
        </w:rPr>
        <w:t>).</w:t>
      </w:r>
    </w:p>
    <w:p w14:paraId="09F66805" w14:textId="77777777" w:rsidR="00517E97" w:rsidRDefault="00517E97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D0138D2" w14:textId="232DE244" w:rsidR="00517E97" w:rsidRPr="00F440FD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9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</w:t>
      </w:r>
      <w:r w:rsidR="0087227D">
        <w:rPr>
          <w:rFonts w:ascii="Times New Roman" w:eastAsia="Times New Roman" w:hAnsi="Times New Roman"/>
          <w:b/>
          <w:sz w:val="28"/>
          <w:szCs w:val="28"/>
          <w:lang w:eastAsia="en-US"/>
        </w:rPr>
        <w:t>, участниками которых могут быть только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517E97" w:rsidRPr="00431297">
        <w:rPr>
          <w:rFonts w:ascii="Times New Roman" w:hAnsi="Times New Roman"/>
          <w:b/>
          <w:sz w:val="28"/>
          <w:szCs w:val="28"/>
        </w:rPr>
        <w:t>субъект</w:t>
      </w:r>
      <w:r w:rsidR="0087227D">
        <w:rPr>
          <w:rFonts w:ascii="Times New Roman" w:hAnsi="Times New Roman"/>
          <w:b/>
          <w:sz w:val="28"/>
          <w:szCs w:val="28"/>
        </w:rPr>
        <w:t>ы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малого предпринимательства</w:t>
      </w:r>
      <w:r w:rsidR="0087227D">
        <w:rPr>
          <w:rFonts w:ascii="Times New Roman" w:hAnsi="Times New Roman"/>
          <w:b/>
          <w:sz w:val="28"/>
          <w:szCs w:val="28"/>
        </w:rPr>
        <w:t>,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социально ориентированны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некоммерчески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7227D">
        <w:rPr>
          <w:rFonts w:ascii="Times New Roman" w:hAnsi="Times New Roman"/>
          <w:b/>
          <w:sz w:val="28"/>
          <w:szCs w:val="28"/>
        </w:rPr>
        <w:t>и</w:t>
      </w:r>
    </w:p>
    <w:p w14:paraId="42EDA230" w14:textId="77777777" w:rsidR="00517E97" w:rsidRDefault="00517E97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BFDF61D" w14:textId="76EAB7FA" w:rsidR="004568A5" w:rsidRPr="00254C15" w:rsidRDefault="00517E97" w:rsidP="00D938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proofErr w:type="gramStart"/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фактический объем закупок, </w:t>
      </w:r>
      <w:r w:rsidR="0035378B" w:rsidRPr="00D42298">
        <w:rPr>
          <w:rFonts w:ascii="Times New Roman" w:eastAsia="Times New Roman" w:hAnsi="Times New Roman"/>
          <w:sz w:val="28"/>
          <w:szCs w:val="28"/>
          <w:lang w:eastAsia="en-US"/>
        </w:rPr>
        <w:t>в которых заказчиками указана информация о предоставлении преимуществ  -  участниками закупок могут быть только СМП и СОНКО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составил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64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083F73" w:rsidRPr="00D42298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263 607,40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</w:t>
      </w:r>
      <w:r w:rsidR="00D9380E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D9380E" w:rsidRPr="00D42298">
        <w:rPr>
          <w:rFonts w:ascii="Times New Roman" w:hAnsi="Times New Roman"/>
          <w:sz w:val="28"/>
          <w:szCs w:val="28"/>
          <w:lang w:eastAsia="en-US"/>
        </w:rPr>
        <w:t>том числе объем закупок с привлечением к исполнению контрактов  субподрядчиков, соисполнителей из числа СМП, СОНКО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E32FF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12,3</w:t>
      </w:r>
      <w:r w:rsidR="006E32FF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бол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>ьше аналогичного показателя 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года в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количественном выражении 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57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6E32FF" w:rsidRPr="002F50E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proofErr w:type="gramEnd"/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6E32FF" w:rsidRPr="00541CBA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на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49,2</w:t>
      </w:r>
      <w:r w:rsidR="006E32FF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ниже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>стоимостно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518 738,20</w:t>
      </w:r>
      <w:r w:rsidR="006E32FF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173D35F" w14:textId="74955037" w:rsidR="00517E97" w:rsidRPr="002F50E9" w:rsidRDefault="004568A5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редняя цена таких закупок составила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4 118,87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на 54,7% ниже 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(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9 100,67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D4750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0D04E5E8" w14:textId="31691E2F" w:rsidR="00D124FA" w:rsidRPr="00AD12CB" w:rsidRDefault="00517E97" w:rsidP="00D872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Доля закупок, которые заказчики осуществили у субъектов малого предпринимательства</w:t>
      </w:r>
      <w:r w:rsidR="004D4750" w:rsidRPr="00AD12CB">
        <w:rPr>
          <w:rFonts w:ascii="Times New Roman" w:eastAsia="Times New Roman" w:hAnsi="Times New Roman"/>
          <w:sz w:val="28"/>
          <w:szCs w:val="28"/>
          <w:lang w:eastAsia="en-US"/>
        </w:rPr>
        <w:t>, с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оциально ориентированных некоммерческих организаций в отчетном периоде, рассчитанная в порядке, установленном ст</w:t>
      </w:r>
      <w:r w:rsidR="007E7FDA" w:rsidRPr="00AD12CB">
        <w:rPr>
          <w:rFonts w:ascii="Times New Roman" w:eastAsia="Times New Roman" w:hAnsi="Times New Roman"/>
          <w:sz w:val="28"/>
          <w:szCs w:val="28"/>
          <w:lang w:eastAsia="en-US"/>
        </w:rPr>
        <w:t>атьей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 30 Федерального закона № 44-ФЗ</w:t>
      </w:r>
      <w:r w:rsidR="00AC4079"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 w:rsidRPr="00AD12CB">
        <w:rPr>
          <w:rFonts w:ascii="Times New Roman" w:hAnsi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, составила 1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35378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5B3466" w:rsidRPr="00AD12CB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0FF4A23E" w14:textId="77777777" w:rsidR="00D124FA" w:rsidRPr="00AD12CB" w:rsidRDefault="00D124FA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F2C5B80" w14:textId="35218E51" w:rsidR="00C8715D" w:rsidRDefault="00785BBB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7D1248"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10</w:t>
      </w:r>
      <w:r w:rsidR="007D1248"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. Применение национального  режима при осуществлении</w:t>
      </w:r>
      <w:r w:rsidR="007D124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76162C63" w14:textId="77777777" w:rsidR="007D1248" w:rsidRDefault="007D1248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69FEE3" w14:textId="0815F721" w:rsidR="007D1248" w:rsidRPr="007D1248" w:rsidRDefault="007D1248" w:rsidP="007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</w:t>
      </w:r>
      <w:r w:rsidR="00EF457E">
        <w:rPr>
          <w:rFonts w:ascii="Times New Roman" w:hAnsi="Times New Roman"/>
          <w:bCs/>
          <w:sz w:val="28"/>
          <w:szCs w:val="28"/>
        </w:rPr>
        <w:t>атьей</w:t>
      </w:r>
      <w:r>
        <w:rPr>
          <w:rFonts w:ascii="Times New Roman" w:hAnsi="Times New Roman"/>
          <w:bCs/>
          <w:sz w:val="28"/>
          <w:szCs w:val="28"/>
        </w:rPr>
        <w:t xml:space="preserve"> 14</w:t>
      </w:r>
      <w:r w:rsidR="0086203F">
        <w:rPr>
          <w:rFonts w:ascii="Times New Roman" w:hAnsi="Times New Roman"/>
          <w:bCs/>
          <w:sz w:val="28"/>
          <w:szCs w:val="28"/>
        </w:rPr>
        <w:t xml:space="preserve"> Закон</w:t>
      </w:r>
      <w:r w:rsidR="00AC4079">
        <w:rPr>
          <w:rFonts w:ascii="Times New Roman" w:hAnsi="Times New Roman"/>
          <w:bCs/>
          <w:sz w:val="28"/>
          <w:szCs w:val="28"/>
        </w:rPr>
        <w:t>а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D1248">
        <w:rPr>
          <w:rFonts w:ascii="Times New Roman" w:hAnsi="Times New Roman"/>
          <w:bCs/>
          <w:sz w:val="28"/>
          <w:szCs w:val="28"/>
        </w:rPr>
        <w:t>ри осуществлении заказчиками закупок к товарам, происходящим из иностранного государства или группы иностранных государств, работам, услугам, соответственно выполняемым, оказываемым иностранными лицами, применяется национальный режим на равных условиях с товарами российского происхождения, работами, услугами, соответственно выполняемыми, оказываемыми российскими лицами, в случаях и на условиях, которые предусмотрены международными договорами Российской Федерации.</w:t>
      </w:r>
      <w:proofErr w:type="gramEnd"/>
    </w:p>
    <w:p w14:paraId="020A0227" w14:textId="28E654C7" w:rsidR="008C1AFC" w:rsidRDefault="007D1248" w:rsidP="008C1A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 xml:space="preserve"> 1 квартале 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муниципальными заказчиками было осуществлено </w:t>
      </w:r>
      <w:r w:rsidR="00A46054">
        <w:rPr>
          <w:rFonts w:ascii="Times New Roman" w:eastAsia="Times New Roman" w:hAnsi="Times New Roman"/>
          <w:sz w:val="28"/>
          <w:szCs w:val="28"/>
          <w:lang w:eastAsia="en-US"/>
        </w:rPr>
        <w:t>14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="008C1AFC"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с применением национального  режима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общим объемом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НМЦК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46054">
        <w:rPr>
          <w:rFonts w:ascii="Times New Roman" w:eastAsia="Times New Roman" w:hAnsi="Times New Roman"/>
          <w:sz w:val="28"/>
          <w:szCs w:val="28"/>
          <w:lang w:eastAsia="en-US"/>
        </w:rPr>
        <w:t>1 177,4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D34F71D" w14:textId="4D143B80" w:rsidR="003312BB" w:rsidRDefault="008C1AFC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С учетом преимуществ в отношении цен</w:t>
      </w:r>
      <w:r w:rsidR="00C23AFC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 с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умма заключенных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 по итогам определения  поставщиков по таким закупкам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 </w:t>
      </w:r>
      <w:r w:rsidR="00A46054">
        <w:rPr>
          <w:rFonts w:ascii="Times New Roman" w:eastAsia="Times New Roman" w:hAnsi="Times New Roman"/>
          <w:sz w:val="28"/>
          <w:szCs w:val="28"/>
          <w:lang w:eastAsia="en-US"/>
        </w:rPr>
        <w:t>1 184,48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</w:p>
    <w:p w14:paraId="6366381A" w14:textId="77777777" w:rsidR="00B72C5D" w:rsidRPr="007D1248" w:rsidRDefault="00B72C5D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AA8E70" w14:textId="6A4F4C0D" w:rsidR="00881796" w:rsidRPr="00B1076F" w:rsidRDefault="00785BBB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3533B8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>Заключение</w:t>
      </w:r>
      <w:r w:rsidR="00032DC6" w:rsidRPr="005E2CF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контрактов</w:t>
      </w:r>
    </w:p>
    <w:p w14:paraId="18C0B913" w14:textId="77777777" w:rsidR="00873F0D" w:rsidRPr="007C3007" w:rsidRDefault="00873F0D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354A786" w14:textId="21A021F4" w:rsidR="00F13BD1" w:rsidRPr="003835D6" w:rsidRDefault="00F42FD7" w:rsidP="00A937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осуществления закупок 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конкурентными способами </w:t>
      </w:r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>в отчетном периоде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заказчиками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и размещено в реестре контрактов 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62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мом 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1 137 080,85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379DB" w:rsidRPr="003835D6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>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руб., что на 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7,5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F561B3" w:rsidRPr="003835D6">
        <w:rPr>
          <w:rFonts w:ascii="Times New Roman" w:eastAsia="Times New Roman" w:hAnsi="Times New Roman"/>
          <w:sz w:val="28"/>
          <w:szCs w:val="28"/>
          <w:lang w:eastAsia="en-US"/>
        </w:rPr>
        <w:t>меньше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3835D6" w:rsidRPr="003835D6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1 квартале 2020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 xml:space="preserve">на 18,2% меньше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в стоимостном выражении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>1 390 090,99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  <w:proofErr w:type="gramEnd"/>
    </w:p>
    <w:p w14:paraId="229432DD" w14:textId="54A2F3A2" w:rsidR="0056728E" w:rsidRDefault="007710D0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цена </w:t>
      </w:r>
      <w:r w:rsidR="0017589B"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одного  заключенного  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контракта составила </w:t>
      </w:r>
      <w:r w:rsidR="00112E09" w:rsidRPr="0056728E">
        <w:rPr>
          <w:rFonts w:ascii="Times New Roman" w:eastAsia="Times New Roman" w:hAnsi="Times New Roman"/>
          <w:sz w:val="28"/>
          <w:szCs w:val="28"/>
          <w:lang w:eastAsia="en-US"/>
        </w:rPr>
        <w:t>18 340,01</w:t>
      </w:r>
      <w:r w:rsidR="00F561B3"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D74B6" w:rsidRPr="0056728E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 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(с учетом закупок на</w:t>
      </w:r>
      <w:r w:rsidR="0056728E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6728E" w:rsidRPr="00C5534D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033759AD" w14:textId="222C8FC5" w:rsidR="00B1076F" w:rsidRDefault="00B1076F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A7007E7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6EBE490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2AC3244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3113F41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7B497AD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562B9360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7BED58B" w14:textId="5A7D9159" w:rsidR="0025059B" w:rsidRPr="005F1227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Количество</w:t>
      </w: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заключенных контрактов</w:t>
      </w:r>
    </w:p>
    <w:p w14:paraId="7692F8A1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F59237B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505840B" w14:textId="705B294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4B75A9" wp14:editId="09EBAF17">
            <wp:extent cx="5269423" cy="3200400"/>
            <wp:effectExtent l="0" t="0" r="2667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FA79D7E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0F76CC6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BBD0F7F" w14:textId="77777777" w:rsidR="0025059B" w:rsidRPr="005F1227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Объем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заключенных контрактов</w:t>
      </w:r>
    </w:p>
    <w:p w14:paraId="6F14C6C9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B1B0B94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797D84D" w14:textId="46B22634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B706252" wp14:editId="722878A1">
            <wp:extent cx="5269423" cy="3200400"/>
            <wp:effectExtent l="0" t="0" r="2667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751C9E8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0D5D752" w14:textId="77777777" w:rsidR="0025059B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0C1A74F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03C6EF3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9790D50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4006FE9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D20833" w14:textId="77777777" w:rsidR="0056728E" w:rsidRDefault="0056728E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13FDC91" w14:textId="7C78CF95" w:rsidR="00EA7B1C" w:rsidRPr="00B4007C" w:rsidRDefault="00EA7B1C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C5CBC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2.1</w:t>
      </w:r>
      <w:r w:rsidR="004316C9" w:rsidRPr="00EC5CBC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EC5CBC">
        <w:rPr>
          <w:rFonts w:ascii="Times New Roman" w:eastAsia="Times New Roman" w:hAnsi="Times New Roman"/>
          <w:b/>
          <w:sz w:val="28"/>
          <w:szCs w:val="28"/>
          <w:lang w:eastAsia="en-US"/>
        </w:rPr>
        <w:t>. Распределение закупок по территориальной принадлежности поставщиков (подрядчиков, исполнителей)</w:t>
      </w:r>
    </w:p>
    <w:p w14:paraId="6B40BC98" w14:textId="77777777" w:rsidR="00EA7B1C" w:rsidRPr="00B4007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6"/>
        <w:gridCol w:w="3366"/>
        <w:gridCol w:w="1560"/>
        <w:gridCol w:w="992"/>
        <w:gridCol w:w="2038"/>
        <w:gridCol w:w="1080"/>
      </w:tblGrid>
      <w:tr w:rsidR="00E66B2B" w:rsidRPr="00B4007C" w14:paraId="0F7AECF6" w14:textId="01B517AC" w:rsidTr="004F718E">
        <w:trPr>
          <w:trHeight w:val="765"/>
          <w:jc w:val="center"/>
        </w:trPr>
        <w:tc>
          <w:tcPr>
            <w:tcW w:w="496" w:type="dxa"/>
          </w:tcPr>
          <w:p w14:paraId="78EA0645" w14:textId="4D30F6A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366" w:type="dxa"/>
            <w:vAlign w:val="center"/>
          </w:tcPr>
          <w:p w14:paraId="2855577C" w14:textId="6A733883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14:paraId="6D09FB1F" w14:textId="6267253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контрактов,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 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участниками закупок, зарегистрированными на территории ДФО (ед.)</w:t>
            </w:r>
          </w:p>
        </w:tc>
        <w:tc>
          <w:tcPr>
            <w:tcW w:w="992" w:type="dxa"/>
          </w:tcPr>
          <w:p w14:paraId="4F306AB8" w14:textId="06766BEF" w:rsidR="00EA7B1C" w:rsidRPr="00B4007C" w:rsidRDefault="00EA7B1C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% в объеме 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контрактов (конкурентные способы определения поставщиков)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0467599B" w14:textId="4BF70E7C" w:rsidR="00EA7B1C" w:rsidRPr="00B4007C" w:rsidRDefault="00E66B2B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Цена  контрактов, заключенных с участниками закупок, зарегистрированными на территории ДФО (тыс. руб.)</w:t>
            </w:r>
          </w:p>
        </w:tc>
        <w:tc>
          <w:tcPr>
            <w:tcW w:w="1080" w:type="dxa"/>
          </w:tcPr>
          <w:p w14:paraId="1B59D736" w14:textId="59E946DC" w:rsidR="00EA7B1C" w:rsidRPr="00B4007C" w:rsidRDefault="00E66B2B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% в объеме  заключенных контрактов (конкурентные способы определения поставщиков)</w:t>
            </w:r>
          </w:p>
        </w:tc>
      </w:tr>
      <w:tr w:rsidR="00E66B2B" w:rsidRPr="00B4007C" w14:paraId="22356E2C" w14:textId="60A1EF29" w:rsidTr="004F718E">
        <w:trPr>
          <w:trHeight w:val="533"/>
          <w:jc w:val="center"/>
        </w:trPr>
        <w:tc>
          <w:tcPr>
            <w:tcW w:w="496" w:type="dxa"/>
            <w:vAlign w:val="center"/>
          </w:tcPr>
          <w:p w14:paraId="16D41A68" w14:textId="65504FB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66" w:type="dxa"/>
            <w:vAlign w:val="center"/>
          </w:tcPr>
          <w:p w14:paraId="32B8D621" w14:textId="1A205138" w:rsidR="005228A4" w:rsidRPr="00B4007C" w:rsidRDefault="003E0789" w:rsidP="0052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Выполнение работ по </w:t>
            </w:r>
            <w:r w:rsidR="005228A4" w:rsidRPr="00B4007C">
              <w:rPr>
                <w:rFonts w:ascii="Times New Roman" w:eastAsia="Times New Roman" w:hAnsi="Times New Roman"/>
                <w:sz w:val="20"/>
                <w:szCs w:val="20"/>
              </w:rPr>
              <w:t>ремонт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 улично-дорожной сети города Благовещенска</w:t>
            </w:r>
            <w:r w:rsidR="004F6055" w:rsidRPr="00B4007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7943E3">
              <w:rPr>
                <w:rFonts w:ascii="Times New Roman" w:eastAsia="Times New Roman" w:hAnsi="Times New Roman"/>
                <w:sz w:val="20"/>
                <w:szCs w:val="20"/>
              </w:rPr>
              <w:t xml:space="preserve"> инженерных сетей, ливневой канализации,</w:t>
            </w:r>
          </w:p>
          <w:p w14:paraId="79E16438" w14:textId="6A5E03B9" w:rsidR="00EA7B1C" w:rsidRPr="00B4007C" w:rsidRDefault="005228A4" w:rsidP="00794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F6055" w:rsidRPr="00B4007C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абот по благоустройству дворовых территорий</w:t>
            </w:r>
            <w:r w:rsidR="007943E3">
              <w:rPr>
                <w:rFonts w:ascii="Times New Roman" w:eastAsia="Times New Roman" w:hAnsi="Times New Roman"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1560" w:type="dxa"/>
            <w:vAlign w:val="center"/>
          </w:tcPr>
          <w:p w14:paraId="506E685B" w14:textId="5A73301F" w:rsidR="00EA7B1C" w:rsidRPr="00B4007C" w:rsidRDefault="00EC5CB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6A63B15" w14:textId="059BB9CF" w:rsidR="00EA7B1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2038" w:type="dxa"/>
            <w:vAlign w:val="center"/>
          </w:tcPr>
          <w:p w14:paraId="76B2BA01" w14:textId="6C4AC276" w:rsidR="00EA7B1C" w:rsidRPr="00B4007C" w:rsidRDefault="00EC5CB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995 062,53</w:t>
            </w:r>
          </w:p>
        </w:tc>
        <w:tc>
          <w:tcPr>
            <w:tcW w:w="1080" w:type="dxa"/>
            <w:vAlign w:val="center"/>
          </w:tcPr>
          <w:p w14:paraId="3F60DFBF" w14:textId="4C632F93" w:rsidR="00EA7B1C" w:rsidRPr="00B4007C" w:rsidRDefault="00C54A0B" w:rsidP="00C6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96,6</w:t>
            </w:r>
          </w:p>
        </w:tc>
      </w:tr>
      <w:tr w:rsidR="00E66B2B" w:rsidRPr="00B4007C" w14:paraId="081DA18E" w14:textId="027472CA" w:rsidTr="004F718E">
        <w:trPr>
          <w:trHeight w:val="229"/>
          <w:jc w:val="center"/>
        </w:trPr>
        <w:tc>
          <w:tcPr>
            <w:tcW w:w="496" w:type="dxa"/>
            <w:vAlign w:val="center"/>
          </w:tcPr>
          <w:p w14:paraId="124F34BF" w14:textId="72C68D9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66" w:type="dxa"/>
            <w:vAlign w:val="center"/>
          </w:tcPr>
          <w:p w14:paraId="2EC53988" w14:textId="2A251EF9" w:rsidR="00EA7B1C" w:rsidRPr="00B4007C" w:rsidRDefault="007943E3" w:rsidP="001D2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3E3"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организации доступа к единой системе видеонаблюдения города Благовещенск</w:t>
            </w:r>
            <w:r w:rsidR="00C54A0B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60" w:type="dxa"/>
            <w:vAlign w:val="center"/>
          </w:tcPr>
          <w:p w14:paraId="3DE54910" w14:textId="08055593" w:rsidR="00EA7B1C" w:rsidRPr="00B4007C" w:rsidRDefault="007943E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030B85E" w14:textId="4233F23F" w:rsidR="00EA7B1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4EF3FBAF" w14:textId="563E25B4" w:rsidR="00EA7B1C" w:rsidRPr="00B4007C" w:rsidRDefault="007943E3" w:rsidP="004F6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20 536,70</w:t>
            </w:r>
          </w:p>
        </w:tc>
        <w:tc>
          <w:tcPr>
            <w:tcW w:w="1080" w:type="dxa"/>
            <w:vAlign w:val="center"/>
          </w:tcPr>
          <w:p w14:paraId="48645F09" w14:textId="142507BA" w:rsidR="00EA7B1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</w:tr>
      <w:tr w:rsidR="00587583" w:rsidRPr="00B4007C" w14:paraId="4655D8FE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4ABB5852" w14:textId="2C4C6737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3366" w:type="dxa"/>
            <w:vAlign w:val="center"/>
          </w:tcPr>
          <w:p w14:paraId="103827B2" w14:textId="5BA55E4D" w:rsidR="00587583" w:rsidRPr="00B4007C" w:rsidRDefault="007943E3" w:rsidP="005A1D5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ремонту помещений</w:t>
            </w:r>
          </w:p>
        </w:tc>
        <w:tc>
          <w:tcPr>
            <w:tcW w:w="1560" w:type="dxa"/>
            <w:vAlign w:val="center"/>
          </w:tcPr>
          <w:p w14:paraId="55578C56" w14:textId="293951B8" w:rsidR="00587583" w:rsidRPr="00B4007C" w:rsidRDefault="007943E3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992" w:type="dxa"/>
            <w:vAlign w:val="center"/>
          </w:tcPr>
          <w:p w14:paraId="1AAFB3AF" w14:textId="5DE12FA1" w:rsidR="00587583" w:rsidRPr="00B4007C" w:rsidRDefault="00C54A0B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9,3</w:t>
            </w:r>
          </w:p>
        </w:tc>
        <w:tc>
          <w:tcPr>
            <w:tcW w:w="2038" w:type="dxa"/>
            <w:vAlign w:val="center"/>
          </w:tcPr>
          <w:p w14:paraId="618CFE63" w14:textId="28802E49" w:rsidR="00587583" w:rsidRPr="00B4007C" w:rsidRDefault="007943E3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2 516,33</w:t>
            </w:r>
          </w:p>
        </w:tc>
        <w:tc>
          <w:tcPr>
            <w:tcW w:w="1080" w:type="dxa"/>
            <w:vAlign w:val="center"/>
          </w:tcPr>
          <w:p w14:paraId="7908168B" w14:textId="6BA61E91" w:rsidR="00587583" w:rsidRPr="00B4007C" w:rsidRDefault="00C54A0B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0,27</w:t>
            </w:r>
          </w:p>
        </w:tc>
      </w:tr>
      <w:tr w:rsidR="00587583" w:rsidRPr="00B4007C" w14:paraId="4CCFE7C7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23AE5446" w14:textId="0A207FFA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3366" w:type="dxa"/>
            <w:vAlign w:val="center"/>
          </w:tcPr>
          <w:p w14:paraId="71E3CF81" w14:textId="3F5E3D94" w:rsidR="00587583" w:rsidRPr="00B4007C" w:rsidRDefault="00587583" w:rsidP="007943E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Выполнение </w:t>
            </w:r>
            <w:r w:rsidR="007943E3">
              <w:rPr>
                <w:rFonts w:ascii="Times New Roman" w:eastAsia="Times New Roman" w:hAnsi="Times New Roman"/>
                <w:sz w:val="20"/>
                <w:szCs w:val="20"/>
              </w:rPr>
              <w:t xml:space="preserve">кадастровых 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работ </w:t>
            </w:r>
          </w:p>
        </w:tc>
        <w:tc>
          <w:tcPr>
            <w:tcW w:w="1560" w:type="dxa"/>
            <w:vAlign w:val="center"/>
          </w:tcPr>
          <w:p w14:paraId="4B9C6C0B" w14:textId="587C7EC9" w:rsidR="00587583" w:rsidRPr="00B4007C" w:rsidRDefault="007943E3" w:rsidP="004A21C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992" w:type="dxa"/>
            <w:vAlign w:val="center"/>
          </w:tcPr>
          <w:p w14:paraId="4AE9B64A" w14:textId="22ED1E0A" w:rsidR="00587583" w:rsidRPr="00B4007C" w:rsidRDefault="00C54A0B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6,8</w:t>
            </w:r>
          </w:p>
        </w:tc>
        <w:tc>
          <w:tcPr>
            <w:tcW w:w="2038" w:type="dxa"/>
            <w:vAlign w:val="center"/>
          </w:tcPr>
          <w:p w14:paraId="03031BFD" w14:textId="3B18BDCF" w:rsidR="00587583" w:rsidRPr="00B4007C" w:rsidRDefault="007943E3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286,65</w:t>
            </w:r>
          </w:p>
        </w:tc>
        <w:tc>
          <w:tcPr>
            <w:tcW w:w="1080" w:type="dxa"/>
            <w:vAlign w:val="center"/>
          </w:tcPr>
          <w:p w14:paraId="295569FD" w14:textId="5EEFA320" w:rsidR="00587583" w:rsidRPr="00B4007C" w:rsidRDefault="00C54A0B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0,03</w:t>
            </w:r>
          </w:p>
        </w:tc>
      </w:tr>
      <w:tr w:rsidR="00E66B2B" w:rsidRPr="00B4007C" w14:paraId="010DD5A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F0FFB94" w14:textId="76300AE8" w:rsidR="00E66B2B" w:rsidRPr="00B4007C" w:rsidRDefault="00EC5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E66B2B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53335207" w14:textId="00D254DC" w:rsidR="00E66B2B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Поставка нефтепродуктов</w:t>
            </w:r>
          </w:p>
        </w:tc>
        <w:tc>
          <w:tcPr>
            <w:tcW w:w="1560" w:type="dxa"/>
            <w:vAlign w:val="center"/>
          </w:tcPr>
          <w:p w14:paraId="72DEBAB8" w14:textId="3F369168" w:rsidR="00E66B2B" w:rsidRPr="00B4007C" w:rsidRDefault="007943E3" w:rsidP="00E67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5AE1F6D" w14:textId="7DA62458" w:rsidR="00E66B2B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63F878BB" w14:textId="5F5E8DFC" w:rsidR="00E66B2B" w:rsidRPr="00B4007C" w:rsidRDefault="007943E3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3 383,80</w:t>
            </w:r>
          </w:p>
        </w:tc>
        <w:tc>
          <w:tcPr>
            <w:tcW w:w="1080" w:type="dxa"/>
            <w:vAlign w:val="center"/>
          </w:tcPr>
          <w:p w14:paraId="4E3C797F" w14:textId="2A51E59B" w:rsidR="00E66B2B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</w:t>
            </w:r>
          </w:p>
        </w:tc>
      </w:tr>
      <w:tr w:rsidR="006E33EC" w:rsidRPr="00B4007C" w14:paraId="46041765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3D885A23" w14:textId="4C3E0E1F" w:rsidR="006E33EC" w:rsidRPr="00B4007C" w:rsidRDefault="00EC5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2F6BA98" w14:textId="1BD81F31" w:rsidR="006E33EC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организации и проведению городских спортивных и молодежных  мероприятий</w:t>
            </w:r>
          </w:p>
        </w:tc>
        <w:tc>
          <w:tcPr>
            <w:tcW w:w="1560" w:type="dxa"/>
            <w:vAlign w:val="center"/>
          </w:tcPr>
          <w:p w14:paraId="3E6136CE" w14:textId="4979E991" w:rsidR="006E33EC" w:rsidRPr="00B4007C" w:rsidRDefault="007943E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28051A8" w14:textId="69CD4571" w:rsidR="006E33EC" w:rsidRPr="00B4007C" w:rsidRDefault="00C54A0B" w:rsidP="00B72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7FC9652E" w14:textId="65024487" w:rsidR="006E33EC" w:rsidRPr="00B4007C" w:rsidRDefault="007943E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683,13</w:t>
            </w:r>
          </w:p>
        </w:tc>
        <w:tc>
          <w:tcPr>
            <w:tcW w:w="1080" w:type="dxa"/>
            <w:vAlign w:val="center"/>
          </w:tcPr>
          <w:p w14:paraId="6C3B9D07" w14:textId="22E24320" w:rsidR="006E33E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0,07</w:t>
            </w:r>
          </w:p>
        </w:tc>
      </w:tr>
      <w:tr w:rsidR="00A5535C" w:rsidRPr="00B4007C" w14:paraId="5321F1D1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4E846B8" w14:textId="47BDC5C0" w:rsidR="00A5535C" w:rsidRPr="00B4007C" w:rsidRDefault="00EC5CB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A5535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DEDF086" w14:textId="0791CECE" w:rsidR="00A5535C" w:rsidRPr="00B4007C" w:rsidRDefault="00A553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Прочие услуги</w:t>
            </w:r>
          </w:p>
        </w:tc>
        <w:tc>
          <w:tcPr>
            <w:tcW w:w="1560" w:type="dxa"/>
            <w:vAlign w:val="center"/>
          </w:tcPr>
          <w:p w14:paraId="6C312795" w14:textId="7CD5509D" w:rsidR="00A5535C" w:rsidRPr="00B4007C" w:rsidRDefault="00E23B91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4C87657" w14:textId="02EDFB76" w:rsidR="00A5535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2038" w:type="dxa"/>
            <w:vAlign w:val="center"/>
          </w:tcPr>
          <w:p w14:paraId="0970C126" w14:textId="51354D44" w:rsidR="00A5535C" w:rsidRPr="00B4007C" w:rsidRDefault="00E23B91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4 821,00</w:t>
            </w:r>
          </w:p>
        </w:tc>
        <w:tc>
          <w:tcPr>
            <w:tcW w:w="1080" w:type="dxa"/>
            <w:vAlign w:val="center"/>
          </w:tcPr>
          <w:p w14:paraId="45AE849A" w14:textId="5D35F7F8" w:rsidR="00A5535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0,5</w:t>
            </w:r>
          </w:p>
        </w:tc>
      </w:tr>
      <w:tr w:rsidR="00A5535C" w:rsidRPr="00B4007C" w14:paraId="0483529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74FF476F" w14:textId="37434CA8" w:rsidR="00A5535C" w:rsidRPr="00B4007C" w:rsidRDefault="00EC5CB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A5535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00647493" w14:textId="0EC7976E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работы</w:t>
            </w:r>
          </w:p>
        </w:tc>
        <w:tc>
          <w:tcPr>
            <w:tcW w:w="1560" w:type="dxa"/>
            <w:vAlign w:val="center"/>
          </w:tcPr>
          <w:p w14:paraId="28D8D9A3" w14:textId="04E20977" w:rsidR="00A5535C" w:rsidRPr="00B4007C" w:rsidRDefault="00E23B91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221F877" w14:textId="7ED4978F" w:rsidR="00A5535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0C45C294" w14:textId="6B56A15F" w:rsidR="00A5535C" w:rsidRPr="00B4007C" w:rsidRDefault="00E23B91" w:rsidP="0058758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315,49</w:t>
            </w:r>
          </w:p>
        </w:tc>
        <w:tc>
          <w:tcPr>
            <w:tcW w:w="1080" w:type="dxa"/>
            <w:vAlign w:val="center"/>
          </w:tcPr>
          <w:p w14:paraId="6B4656F8" w14:textId="7A76BAA9" w:rsidR="00A5535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0,03</w:t>
            </w:r>
          </w:p>
        </w:tc>
      </w:tr>
      <w:tr w:rsidR="00A5535C" w:rsidRPr="00B4007C" w14:paraId="3E802D8B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D2FF183" w14:textId="10A6C303" w:rsidR="00A5535C" w:rsidRPr="00B4007C" w:rsidRDefault="00EC5CB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635110F8" w14:textId="151D1164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товары</w:t>
            </w:r>
          </w:p>
        </w:tc>
        <w:tc>
          <w:tcPr>
            <w:tcW w:w="1560" w:type="dxa"/>
            <w:vAlign w:val="center"/>
          </w:tcPr>
          <w:p w14:paraId="3804E6F7" w14:textId="6E91D2F3" w:rsidR="00A5535C" w:rsidRPr="00B4007C" w:rsidRDefault="00E23B91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14:paraId="2F1D68A6" w14:textId="3CC743E9" w:rsidR="00A5535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2038" w:type="dxa"/>
            <w:vAlign w:val="center"/>
          </w:tcPr>
          <w:p w14:paraId="164476C2" w14:textId="4DADE6C8" w:rsidR="00A5535C" w:rsidRPr="00B4007C" w:rsidRDefault="00E23B91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2 102,2</w:t>
            </w:r>
          </w:p>
        </w:tc>
        <w:tc>
          <w:tcPr>
            <w:tcW w:w="1080" w:type="dxa"/>
            <w:vAlign w:val="center"/>
          </w:tcPr>
          <w:p w14:paraId="5B8CAAC5" w14:textId="37E3CFDE" w:rsidR="00A5535C" w:rsidRPr="00B4007C" w:rsidRDefault="00C54A0B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0,2</w:t>
            </w:r>
          </w:p>
        </w:tc>
      </w:tr>
      <w:tr w:rsidR="00713D33" w:rsidRPr="007C3007" w14:paraId="3CA4F386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58EF870C" w14:textId="77777777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81CB517" w14:textId="1F1F3944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005C3C7A" w14:textId="43850EE5" w:rsidR="00713D33" w:rsidRPr="00B4007C" w:rsidRDefault="00C54A0B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14:paraId="6D88D73B" w14:textId="33291F54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vAlign w:val="center"/>
          </w:tcPr>
          <w:p w14:paraId="35B5D424" w14:textId="3D53A163" w:rsidR="00713D33" w:rsidRPr="00B4007C" w:rsidRDefault="00C54A0B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1 029 707,83</w:t>
            </w:r>
          </w:p>
        </w:tc>
        <w:tc>
          <w:tcPr>
            <w:tcW w:w="1080" w:type="dxa"/>
            <w:vAlign w:val="center"/>
          </w:tcPr>
          <w:p w14:paraId="1B984BE9" w14:textId="4BA3A93E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100</w:t>
            </w:r>
          </w:p>
        </w:tc>
      </w:tr>
    </w:tbl>
    <w:p w14:paraId="2DB4066F" w14:textId="77777777" w:rsidR="006E7F1C" w:rsidRPr="007C3007" w:rsidRDefault="006E7F1C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A112874" w14:textId="654B024B" w:rsidR="00CC6E2C" w:rsidRPr="00EE6385" w:rsidRDefault="00994605" w:rsidP="004B51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         </w:t>
      </w:r>
      <w:r w:rsidR="00CC6E2C"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</w:t>
      </w:r>
      <w:proofErr w:type="gramStart"/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наибольший удельный вес по количеству заключенных  контрактов  участниками  закупок,  зарегистрированными  на  территории ДФО, в общем объеме заключенных контрактов по конкурентным закупкам занимают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поставки прочих товаров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38,6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далее идут 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ы по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C54A0B">
        <w:rPr>
          <w:rFonts w:ascii="Times New Roman" w:eastAsia="Times New Roman" w:hAnsi="Times New Roman"/>
          <w:sz w:val="20"/>
          <w:szCs w:val="20"/>
        </w:rPr>
        <w:t xml:space="preserve"> 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20,5</w:t>
      </w:r>
      <w:r w:rsidR="00255DDB" w:rsidRPr="00EE6385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056C7723" w14:textId="79E3722E" w:rsidR="0059209E" w:rsidRPr="007C30D3" w:rsidRDefault="00CC6E2C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В  стоимостном  выражении  наибольшую  долю  занимают с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троительные,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ы по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C54A0B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96,6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Pr="00EE6385">
        <w:rPr>
          <w:rFonts w:ascii="Times New Roman" w:eastAsia="Times New Roman" w:hAnsi="Times New Roman"/>
          <w:sz w:val="28"/>
          <w:szCs w:val="28"/>
        </w:rPr>
        <w:t>далее ид</w:t>
      </w:r>
      <w:r w:rsidR="005A1D52">
        <w:rPr>
          <w:rFonts w:ascii="Times New Roman" w:eastAsia="Times New Roman" w:hAnsi="Times New Roman"/>
          <w:sz w:val="28"/>
          <w:szCs w:val="28"/>
        </w:rPr>
        <w:t xml:space="preserve">ет </w:t>
      </w:r>
      <w:r w:rsidR="00EE6385" w:rsidRPr="00EE6385">
        <w:rPr>
          <w:rFonts w:ascii="Times New Roman" w:eastAsia="Times New Roman" w:hAnsi="Times New Roman"/>
          <w:sz w:val="28"/>
          <w:szCs w:val="28"/>
        </w:rPr>
        <w:t xml:space="preserve">оказание услуг по организации доступа </w:t>
      </w:r>
      <w:r w:rsidR="005A1D52">
        <w:rPr>
          <w:rFonts w:ascii="Times New Roman" w:eastAsia="Times New Roman" w:hAnsi="Times New Roman"/>
          <w:sz w:val="28"/>
          <w:szCs w:val="28"/>
        </w:rPr>
        <w:t>к</w:t>
      </w:r>
      <w:r w:rsidR="00EE6385" w:rsidRPr="00EE6385">
        <w:rPr>
          <w:rFonts w:ascii="Times New Roman" w:eastAsia="Times New Roman" w:hAnsi="Times New Roman"/>
          <w:sz w:val="28"/>
          <w:szCs w:val="28"/>
        </w:rPr>
        <w:t xml:space="preserve"> системе видеонаблюдения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города Благовещенска</w:t>
      </w:r>
      <w:r w:rsidR="00F37A7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>2,0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%;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 на третьем месте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C54A0B">
        <w:rPr>
          <w:rFonts w:ascii="Times New Roman" w:eastAsia="Times New Roman" w:hAnsi="Times New Roman"/>
          <w:sz w:val="28"/>
          <w:szCs w:val="28"/>
        </w:rPr>
        <w:t>оказание прочих услуг</w:t>
      </w:r>
      <w:r w:rsidR="00EE6385"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255DDB"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>0,5</w:t>
      </w:r>
      <w:r w:rsidR="007C30D3">
        <w:rPr>
          <w:rFonts w:ascii="Times New Roman" w:eastAsia="Times New Roman" w:hAnsi="Times New Roman"/>
          <w:sz w:val="28"/>
          <w:szCs w:val="28"/>
          <w:lang w:eastAsia="en-US"/>
        </w:rPr>
        <w:t>%</w:t>
      </w:r>
    </w:p>
    <w:p w14:paraId="27F3DC66" w14:textId="112EA3FA" w:rsidR="009D1EE5" w:rsidRPr="00C41663" w:rsidRDefault="007B59BC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.1</w:t>
      </w:r>
      <w:r w:rsidR="004316C9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Применение антидемпинговых мер</w:t>
      </w:r>
    </w:p>
    <w:p w14:paraId="515B011B" w14:textId="77777777" w:rsidR="009D1EE5" w:rsidRPr="007C3007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B4650A9" w14:textId="40ADD51A" w:rsidR="009D1EE5" w:rsidRPr="006C0011" w:rsidRDefault="007E3B3D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1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проведения процедур определения поставщиков (подрядчиков, исполнителей) с применением антидемпинговых мер заключен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87 635,26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40,3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 и объема всех контрактов, заключенных в отчетном периоде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41663" w:rsidRPr="00C4166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1663" w:rsidRPr="006C0011">
        <w:rPr>
          <w:rFonts w:ascii="Times New Roman" w:eastAsia="Times New Roman" w:hAnsi="Times New Roman"/>
          <w:sz w:val="28"/>
          <w:szCs w:val="28"/>
          <w:lang w:eastAsia="en-US"/>
        </w:rPr>
        <w:t>соответ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). </w:t>
      </w:r>
      <w:proofErr w:type="gramStart"/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При этом в сравнении с аналогичными показателями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количество 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таких контрактов снизилось </w:t>
      </w:r>
      <w:r w:rsidR="006E50EF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>3,8</w:t>
      </w:r>
      <w:r w:rsidR="006E50EF" w:rsidRPr="006C0011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>, а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контрактов, заключенных по результатам процедур с применением антидемпинговых мер, 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 xml:space="preserve">значительно 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увеличил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сь</w:t>
      </w:r>
      <w:r w:rsidR="006E50EF" w:rsidRPr="006E50EF">
        <w:t xml:space="preserve"> </w:t>
      </w:r>
      <w:r w:rsidR="006E50EF" w:rsidRPr="006E50EF">
        <w:rPr>
          <w:rFonts w:ascii="Times New Roman" w:hAnsi="Times New Roman"/>
          <w:sz w:val="28"/>
          <w:szCs w:val="28"/>
        </w:rPr>
        <w:t>(за счет контракта на в</w:t>
      </w:r>
      <w:r w:rsidR="006E50EF" w:rsidRPr="006E50EF">
        <w:rPr>
          <w:rFonts w:ascii="Times New Roman" w:eastAsia="Times New Roman" w:hAnsi="Times New Roman"/>
          <w:sz w:val="28"/>
          <w:szCs w:val="28"/>
          <w:lang w:eastAsia="en-US"/>
        </w:rPr>
        <w:t>ыполнение работ по ремонту трубопроводов ливневой канализации по ул. Горького от ул. Калинина до ул. Театральная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 xml:space="preserve"> в размере </w:t>
      </w:r>
      <w:r w:rsidR="006E50EF" w:rsidRPr="006E50EF">
        <w:rPr>
          <w:rFonts w:ascii="Times New Roman" w:eastAsia="Times New Roman" w:hAnsi="Times New Roman"/>
          <w:sz w:val="28"/>
          <w:szCs w:val="28"/>
          <w:lang w:eastAsia="en-US"/>
        </w:rPr>
        <w:t>81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6E50EF" w:rsidRPr="006E50EF">
        <w:rPr>
          <w:rFonts w:ascii="Times New Roman" w:eastAsia="Times New Roman" w:hAnsi="Times New Roman"/>
          <w:sz w:val="28"/>
          <w:szCs w:val="28"/>
          <w:lang w:eastAsia="en-US"/>
        </w:rPr>
        <w:t>486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E50EF" w:rsidRPr="006E50EF">
        <w:rPr>
          <w:rFonts w:ascii="Times New Roman" w:eastAsia="Times New Roman" w:hAnsi="Times New Roman"/>
          <w:sz w:val="28"/>
          <w:szCs w:val="28"/>
          <w:lang w:eastAsia="en-US"/>
        </w:rPr>
        <w:t>69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руб.)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439133CB" w14:textId="4FC13E8B" w:rsidR="009D1EE5" w:rsidRPr="007C3007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Так, среднее снижение НМЦК в рамках закупок </w:t>
      </w:r>
      <w:r w:rsidR="00C32210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с применением антидемпинговых мер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составило 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>30,2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%, что 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>на 1,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136B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выше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по сравнению с 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кварталом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7E3B3D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41663" w:rsidRPr="0035136B">
        <w:rPr>
          <w:rFonts w:ascii="Times New Roman" w:eastAsia="Times New Roman" w:hAnsi="Times New Roman"/>
          <w:sz w:val="28"/>
          <w:szCs w:val="28"/>
          <w:lang w:eastAsia="en-US"/>
        </w:rPr>
        <w:t>48</w:t>
      </w:r>
      <w:r w:rsidR="00B4064D" w:rsidRPr="00C41663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C41663">
        <w:rPr>
          <w:rFonts w:ascii="Times New Roman" w:eastAsia="Times New Roman" w:hAnsi="Times New Roman"/>
          <w:sz w:val="28"/>
          <w:szCs w:val="28"/>
          <w:lang w:eastAsia="en-US"/>
        </w:rPr>
        <w:t>%).</w:t>
      </w:r>
    </w:p>
    <w:p w14:paraId="549D7CEF" w14:textId="77777777" w:rsidR="002650F8" w:rsidRPr="007C3007" w:rsidRDefault="002650F8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23D7F4" w14:textId="7626A1ED" w:rsidR="00881796" w:rsidRPr="009A5A42" w:rsidRDefault="007B59BC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32DC6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Исполнение</w:t>
      </w:r>
      <w:r w:rsidR="00032DC6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(расторжени</w:t>
      </w:r>
      <w:r w:rsidR="00B356EC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е</w:t>
      </w:r>
      <w:r w:rsidR="00032DC6" w:rsidRPr="00FD08AE">
        <w:rPr>
          <w:rFonts w:ascii="Times New Roman" w:eastAsia="Times New Roman" w:hAnsi="Times New Roman"/>
          <w:b/>
          <w:sz w:val="28"/>
          <w:szCs w:val="28"/>
          <w:lang w:eastAsia="en-US"/>
        </w:rPr>
        <w:t>) контрактов</w:t>
      </w:r>
    </w:p>
    <w:p w14:paraId="3488BA7C" w14:textId="77777777" w:rsidR="00873F0D" w:rsidRPr="009A5A42" w:rsidRDefault="00873F0D" w:rsidP="005F50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94F353" w14:textId="2AC4374B" w:rsidR="00006016" w:rsidRPr="009A5A42" w:rsidRDefault="005F5090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B3C62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BB3C62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BB3C6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BB3C62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расторгнуто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общую сумму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158 876,20</w:t>
      </w:r>
      <w:r w:rsidR="00410F3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по 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расторгнутым контрактам составила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119 454,88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2565DAEE" w14:textId="55BCAC85" w:rsidR="005F5090" w:rsidRPr="009A5A42" w:rsidRDefault="007E7FDA" w:rsidP="009A5A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За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аналогичный период  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был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расторгнут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12</w:t>
      </w:r>
      <w:r w:rsidR="009A5A42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F561B3" w:rsidRPr="009A5A42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117 761,83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35306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сумма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</w:t>
      </w:r>
      <w:r w:rsidR="00301F6A"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301F6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D08AE">
        <w:rPr>
          <w:rFonts w:ascii="Times New Roman" w:eastAsia="Times New Roman" w:hAnsi="Times New Roman"/>
          <w:sz w:val="28"/>
          <w:szCs w:val="28"/>
          <w:lang w:eastAsia="en-US"/>
        </w:rPr>
        <w:t>88 845,85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EA55AE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006016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</w:p>
    <w:p w14:paraId="4376C690" w14:textId="56A7F0AA" w:rsidR="00C166E9" w:rsidRPr="00AF6194" w:rsidRDefault="00FD08AE" w:rsidP="00C166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Р</w:t>
      </w:r>
      <w:r w:rsidR="005F5090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асторжение контрактов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5D4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отчетном периоде, также как и в </w:t>
      </w:r>
      <w:r w:rsidR="00301F6A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301F6A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5F5090" w:rsidRPr="00AF6194">
        <w:rPr>
          <w:rFonts w:ascii="Times New Roman" w:eastAsia="Times New Roman" w:hAnsi="Times New Roman"/>
          <w:sz w:val="28"/>
          <w:szCs w:val="28"/>
          <w:lang w:eastAsia="en-US"/>
        </w:rPr>
        <w:t>осущ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>ествля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лось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по соглашению сторон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в связи с чем</w:t>
      </w:r>
      <w:r w:rsidR="006A3E7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FD08A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пен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и штраф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ы не начислялись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8E72C6C" w14:textId="77777777" w:rsidR="00431297" w:rsidRPr="007C3007" w:rsidRDefault="00431297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2EDB377" w14:textId="176D998D" w:rsidR="00881796" w:rsidRPr="009F7BB6" w:rsidRDefault="007B59BC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З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акуп</w:t>
      </w:r>
      <w:r w:rsidR="00B356EC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ки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у единственного поставщика</w:t>
      </w:r>
      <w:r w:rsidR="008D16F3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(подрядчика, исполнителя)</w:t>
      </w:r>
    </w:p>
    <w:p w14:paraId="0CC1E2AA" w14:textId="77777777" w:rsidR="00785BBB" w:rsidRPr="009F7BB6" w:rsidRDefault="00785BBB" w:rsidP="00694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FB3E7D5" w14:textId="59BDFDB9" w:rsidR="00785BBB" w:rsidRPr="009F7BB6" w:rsidRDefault="00785BBB" w:rsidP="005920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В  отчетном  периоде  с  единственным  поставщиком  (подрядчиком,  исполнителем)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579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1 033 448,05 (с учетом контрактов</w:t>
      </w:r>
      <w:r w:rsidR="00A5325A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A5325A" w:rsidRPr="00A5325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5325A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заключенных по 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94109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п.25 ч.1 ст.93 </w:t>
      </w:r>
      <w:r w:rsidR="00394109" w:rsidRPr="009F7BB6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394109">
        <w:rPr>
          <w:rFonts w:ascii="Times New Roman" w:hAnsi="Times New Roman"/>
          <w:bCs/>
          <w:sz w:val="28"/>
          <w:szCs w:val="28"/>
        </w:rPr>
        <w:t>)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составило 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>93,4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79,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заключенных в отчетном периоде контрактов. </w:t>
      </w:r>
    </w:p>
    <w:p w14:paraId="27FE27AA" w14:textId="228FACC4" w:rsidR="003C659A" w:rsidRDefault="003C659A" w:rsidP="003C6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По сравнению с 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кварталом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объем закупок у единственного поставщика 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 xml:space="preserve">снизился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>427 867,50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C307F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</w:t>
      </w:r>
      <w:r w:rsidR="005C307F" w:rsidRPr="007022E5">
        <w:rPr>
          <w:rFonts w:ascii="Times New Roman" w:eastAsia="Times New Roman" w:hAnsi="Times New Roman"/>
          <w:sz w:val="28"/>
          <w:szCs w:val="28"/>
          <w:lang w:eastAsia="en-US"/>
        </w:rPr>
        <w:t xml:space="preserve">при уменьшении количества таких контрактов на 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>41</w:t>
      </w:r>
      <w:r w:rsidR="005C307F" w:rsidRPr="007022E5">
        <w:rPr>
          <w:rFonts w:ascii="Times New Roman" w:eastAsia="Times New Roman" w:hAnsi="Times New Roman"/>
          <w:sz w:val="28"/>
          <w:szCs w:val="28"/>
          <w:lang w:eastAsia="en-US"/>
        </w:rPr>
        <w:t xml:space="preserve"> ед.</w:t>
      </w:r>
    </w:p>
    <w:p w14:paraId="3223B050" w14:textId="175DF38C" w:rsidR="0071734D" w:rsidRPr="007022E5" w:rsidRDefault="003844F5" w:rsidP="007259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 объем  контрактов,  заключенных  в  отчетном  периоде  с  единственным  поставщиком </w:t>
      </w:r>
      <w:r w:rsidR="00031C21" w:rsidRPr="009F7BB6">
        <w:rPr>
          <w:rFonts w:ascii="Times New Roman" w:eastAsia="Times New Roman" w:hAnsi="Times New Roman"/>
          <w:sz w:val="28"/>
          <w:szCs w:val="28"/>
          <w:lang w:eastAsia="en-US"/>
        </w:rPr>
        <w:t>(подрядчиком,  исполнителем)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по  результатам  признания  конкурентных  процедур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несостоявшимися составил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901 240,00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71,0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акупок у единственного поставщика (подрядчика, исполнителя).</w:t>
      </w:r>
      <w:proofErr w:type="gramEnd"/>
    </w:p>
    <w:p w14:paraId="63EA4207" w14:textId="48B5C7F2" w:rsidR="003C659A" w:rsidRPr="00841515" w:rsidRDefault="003C659A" w:rsidP="003C6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При этом среднее значение 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«</w:t>
      </w:r>
      <w:r w:rsidRPr="00841515">
        <w:rPr>
          <w:rFonts w:ascii="Times New Roman" w:eastAsia="Times New Roman" w:hAnsi="Times New Roman"/>
          <w:sz w:val="28"/>
          <w:szCs w:val="28"/>
        </w:rPr>
        <w:t>индекса одной заявки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»</w:t>
      </w:r>
      <w:r w:rsidRPr="00841515">
        <w:rPr>
          <w:rFonts w:ascii="Times New Roman" w:eastAsia="Times New Roman" w:hAnsi="Times New Roman"/>
          <w:sz w:val="28"/>
          <w:szCs w:val="28"/>
          <w:vertAlign w:val="superscript"/>
        </w:rPr>
        <w:footnoteReference w:id="1"/>
      </w:r>
      <w:r w:rsidRPr="00841515">
        <w:rPr>
          <w:rFonts w:ascii="Times New Roman" w:eastAsia="MS Mincho" w:hAnsi="Times New Roman"/>
          <w:noProof/>
          <w:sz w:val="28"/>
          <w:szCs w:val="28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</w:t>
      </w:r>
      <w:r w:rsidR="00725928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72592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находится на уровне </w:t>
      </w:r>
      <w:r w:rsidR="00A9436C">
        <w:rPr>
          <w:rFonts w:ascii="Times New Roman" w:eastAsia="Times New Roman" w:hAnsi="Times New Roman"/>
          <w:sz w:val="28"/>
          <w:szCs w:val="28"/>
          <w:lang w:eastAsia="en-US"/>
        </w:rPr>
        <w:t>28,2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%. Наблюдается </w:t>
      </w:r>
      <w:r w:rsidR="00EB798E">
        <w:rPr>
          <w:rFonts w:ascii="Times New Roman" w:eastAsia="Times New Roman" w:hAnsi="Times New Roman"/>
          <w:sz w:val="28"/>
          <w:szCs w:val="28"/>
          <w:lang w:eastAsia="en-US"/>
        </w:rPr>
        <w:t>сниже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ние в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доли закупок, на которые подавалась одна заявка, относительно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2B70D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 </w:t>
      </w:r>
      <w:r w:rsidR="00A9436C">
        <w:rPr>
          <w:rFonts w:ascii="Times New Roman" w:eastAsia="Times New Roman" w:hAnsi="Times New Roman"/>
          <w:sz w:val="28"/>
          <w:szCs w:val="28"/>
          <w:lang w:eastAsia="en-US"/>
        </w:rPr>
        <w:t>19,4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EB798E">
        <w:rPr>
          <w:rFonts w:ascii="Times New Roman" w:eastAsia="Times New Roman" w:hAnsi="Times New Roman"/>
          <w:sz w:val="28"/>
          <w:szCs w:val="28"/>
          <w:lang w:eastAsia="en-US"/>
        </w:rPr>
        <w:t>47,6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% – за 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491D5D3" w14:textId="77777777" w:rsidR="00D124FA" w:rsidRPr="007C3007" w:rsidRDefault="00D124FA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9EAB8CB" w14:textId="6F86F8EF" w:rsidR="001E201C" w:rsidRPr="00841515" w:rsidRDefault="00785BBB" w:rsidP="00DA18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Крупнейшие контракты, заключенные с единственным поставщиком</w:t>
      </w:r>
      <w:r w:rsidR="00957CEA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(подрядчиком, исполнителем)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по</w:t>
      </w:r>
      <w:r w:rsidR="0059209E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результатам  несостоявшихся  конкурентных  процедур  в  отчетном  периоде, представлены в таблице ниже.</w:t>
      </w:r>
    </w:p>
    <w:p w14:paraId="79D046C7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2268"/>
        <w:gridCol w:w="1866"/>
      </w:tblGrid>
      <w:tr w:rsidR="00EA0FF5" w:rsidRPr="007C3007" w14:paraId="4E0593AC" w14:textId="77777777" w:rsidTr="008232D3">
        <w:tc>
          <w:tcPr>
            <w:tcW w:w="3686" w:type="dxa"/>
            <w:shd w:val="clear" w:color="auto" w:fill="auto"/>
            <w:vAlign w:val="center"/>
          </w:tcPr>
          <w:p w14:paraId="6CAD4737" w14:textId="329CB20E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 контракта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1F254" w14:textId="77777777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Цена контракта, руб.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0A6931" w14:textId="41D059FD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Поставщик </w:t>
            </w:r>
            <w:r w:rsidRPr="0085419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(подрядчик, исполнитель)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A724D20" w14:textId="77777777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5767DA" w:rsidRPr="007C3007" w14:paraId="2C9FB84F" w14:textId="77777777" w:rsidTr="008232D3">
        <w:tc>
          <w:tcPr>
            <w:tcW w:w="3686" w:type="dxa"/>
            <w:shd w:val="clear" w:color="auto" w:fill="auto"/>
            <w:vAlign w:val="center"/>
          </w:tcPr>
          <w:p w14:paraId="3A4F5E5D" w14:textId="4E1C1115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 xml:space="preserve">Выполнение работ по капитальному ремонту инженерных сетей по </w:t>
            </w:r>
            <w:r w:rsidR="000D70F1" w:rsidRPr="008232D3">
              <w:rPr>
                <w:rFonts w:ascii="Times New Roman" w:hAnsi="Times New Roman"/>
                <w:lang w:eastAsia="en-US"/>
              </w:rPr>
              <w:t xml:space="preserve">                         </w:t>
            </w:r>
            <w:r w:rsidRPr="008232D3">
              <w:rPr>
                <w:rFonts w:ascii="Times New Roman" w:hAnsi="Times New Roman"/>
                <w:lang w:eastAsia="en-US"/>
              </w:rPr>
              <w:t>ул. Мухина от ул. Пролетарская до</w:t>
            </w:r>
            <w:r w:rsidR="000D70F1" w:rsidRPr="008232D3">
              <w:rPr>
                <w:rFonts w:ascii="Times New Roman" w:hAnsi="Times New Roman"/>
                <w:lang w:eastAsia="en-US"/>
              </w:rPr>
              <w:t xml:space="preserve">                 </w:t>
            </w:r>
            <w:r w:rsidRPr="008232D3">
              <w:rPr>
                <w:rFonts w:ascii="Times New Roman" w:hAnsi="Times New Roman"/>
                <w:lang w:eastAsia="en-US"/>
              </w:rPr>
              <w:t xml:space="preserve"> ул. </w:t>
            </w:r>
            <w:proofErr w:type="spellStart"/>
            <w:r w:rsidRPr="008232D3">
              <w:rPr>
                <w:rFonts w:ascii="Times New Roman" w:hAnsi="Times New Roman"/>
                <w:lang w:eastAsia="en-US"/>
              </w:rPr>
              <w:t>Зейская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E3EF1A" w14:textId="3AF4C703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276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675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381</w:t>
            </w:r>
            <w:r w:rsidR="007D21FA" w:rsidRPr="008232D3"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587FB3" w14:textId="75F52D56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ООО «Сервер»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E27EC44" w14:textId="27AD787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5767DA" w:rsidRPr="007C3007" w14:paraId="1C1C0C39" w14:textId="77777777" w:rsidTr="008232D3">
        <w:tc>
          <w:tcPr>
            <w:tcW w:w="3686" w:type="dxa"/>
            <w:shd w:val="clear" w:color="auto" w:fill="auto"/>
            <w:vAlign w:val="center"/>
          </w:tcPr>
          <w:p w14:paraId="04A92F78" w14:textId="5ADE8D7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 xml:space="preserve">Выполнение работ по ремонту инженерных сетей по ул. Горького от ул. </w:t>
            </w:r>
            <w:proofErr w:type="gramStart"/>
            <w:r w:rsidRPr="008232D3">
              <w:rPr>
                <w:rFonts w:ascii="Times New Roman" w:hAnsi="Times New Roman"/>
                <w:lang w:eastAsia="en-US"/>
              </w:rPr>
              <w:t>Театральная</w:t>
            </w:r>
            <w:proofErr w:type="gramEnd"/>
            <w:r w:rsidRPr="008232D3">
              <w:rPr>
                <w:rFonts w:ascii="Times New Roman" w:hAnsi="Times New Roman"/>
                <w:lang w:eastAsia="en-US"/>
              </w:rPr>
              <w:t xml:space="preserve"> до ул. Калинина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EBE79" w14:textId="5B561BD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252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727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302</w:t>
            </w:r>
            <w:r w:rsidR="007D21FA" w:rsidRPr="008232D3"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2E046C" w14:textId="5B83845F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ООО «ДСК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«АМУРСТРОЙ»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46C5C42" w14:textId="04D8BA3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5767DA" w:rsidRPr="007C3007" w14:paraId="6B4B6AA5" w14:textId="77777777" w:rsidTr="008232D3">
        <w:tc>
          <w:tcPr>
            <w:tcW w:w="3686" w:type="dxa"/>
            <w:shd w:val="clear" w:color="auto" w:fill="auto"/>
            <w:vAlign w:val="center"/>
          </w:tcPr>
          <w:p w14:paraId="46FF1F86" w14:textId="25C83B3B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eastAsia="Times New Roman" w:hAnsi="Times New Roman"/>
                <w:lang w:eastAsia="en-US"/>
              </w:rPr>
              <w:t xml:space="preserve">Выполнение работ по ремонту автомобильной дороги по ул. Ленина от ул. Шевченко до ул. Мухина, от </w:t>
            </w:r>
            <w:r w:rsidR="000D70F1" w:rsidRPr="008232D3">
              <w:rPr>
                <w:rFonts w:ascii="Times New Roman" w:eastAsia="Times New Roman" w:hAnsi="Times New Roman"/>
                <w:lang w:eastAsia="en-US"/>
              </w:rPr>
              <w:t xml:space="preserve">                        </w:t>
            </w:r>
            <w:r w:rsidRPr="008232D3">
              <w:rPr>
                <w:rFonts w:ascii="Times New Roman" w:eastAsia="Times New Roman" w:hAnsi="Times New Roman"/>
                <w:lang w:eastAsia="en-US"/>
              </w:rPr>
              <w:t>ул. Театральная до ул. Шимановского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69430D" w14:textId="1D746CF4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228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371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113</w:t>
            </w:r>
            <w:r w:rsidR="007D21FA" w:rsidRPr="008232D3"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3E2EBB" w14:textId="777A8B9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ООО «Сервер»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D9369B8" w14:textId="5EEC523E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5767DA" w:rsidRPr="007C3007" w14:paraId="6BB39046" w14:textId="77777777" w:rsidTr="008232D3">
        <w:tc>
          <w:tcPr>
            <w:tcW w:w="3686" w:type="dxa"/>
            <w:shd w:val="clear" w:color="auto" w:fill="auto"/>
            <w:vAlign w:val="center"/>
          </w:tcPr>
          <w:p w14:paraId="1425A748" w14:textId="3862FE5C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Выполнение работ по ремонту улично-дорожной сети г. Благовещенска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8F263D" w14:textId="18138399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100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629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982</w:t>
            </w:r>
            <w:r w:rsidR="007D21FA" w:rsidRPr="008232D3">
              <w:rPr>
                <w:rFonts w:ascii="Times New Roman" w:hAnsi="Times New Roman"/>
                <w:lang w:eastAsia="en-US"/>
              </w:rPr>
              <w:t>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BAA4AA" w14:textId="6E3EF67C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ООО «</w:t>
            </w:r>
            <w:proofErr w:type="gramStart"/>
            <w:r w:rsidRPr="008232D3">
              <w:rPr>
                <w:rFonts w:ascii="Times New Roman" w:hAnsi="Times New Roman"/>
                <w:lang w:eastAsia="en-US"/>
              </w:rPr>
              <w:t>САР-Дорожник</w:t>
            </w:r>
            <w:proofErr w:type="gramEnd"/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44BD192" w14:textId="47CCA197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5767DA" w:rsidRPr="007C3007" w14:paraId="6BC6008C" w14:textId="77777777" w:rsidTr="008232D3">
        <w:tc>
          <w:tcPr>
            <w:tcW w:w="3686" w:type="dxa"/>
            <w:shd w:val="clear" w:color="auto" w:fill="auto"/>
            <w:vAlign w:val="center"/>
          </w:tcPr>
          <w:p w14:paraId="2287D2F8" w14:textId="684E7400" w:rsidR="005767DA" w:rsidRPr="008232D3" w:rsidRDefault="00FD5B3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Оказание услуг по организации доступа к единой системе видеонаблюдения города Благовещенск (с 01.04.2021 по 18.10.2021)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54AB6" w14:textId="2E6B8806" w:rsidR="005767DA" w:rsidRPr="008232D3" w:rsidRDefault="00FD5B3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19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921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696,92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00010E" w14:textId="3CD9952D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АО «</w:t>
            </w:r>
            <w:r w:rsidR="00FD5B3A" w:rsidRPr="008232D3">
              <w:rPr>
                <w:rFonts w:ascii="Times New Roman" w:hAnsi="Times New Roman"/>
                <w:lang w:eastAsia="en-US"/>
              </w:rPr>
              <w:t>Профит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035673B" w14:textId="39214FB6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</w:t>
            </w:r>
            <w:r w:rsidR="00FD5B3A" w:rsidRPr="008232D3">
              <w:rPr>
                <w:rFonts w:ascii="Times New Roman" w:hAnsi="Times New Roman"/>
                <w:lang w:eastAsia="en-US"/>
              </w:rPr>
              <w:t>К</w:t>
            </w:r>
            <w:r w:rsidRPr="008232D3">
              <w:rPr>
                <w:rFonts w:ascii="Times New Roman" w:hAnsi="Times New Roman"/>
                <w:lang w:eastAsia="en-US"/>
              </w:rPr>
              <w:t>У «</w:t>
            </w:r>
            <w:r w:rsidR="005E6932" w:rsidRPr="008232D3">
              <w:rPr>
                <w:rFonts w:ascii="Times New Roman" w:hAnsi="Times New Roman"/>
                <w:lang w:eastAsia="en-US"/>
              </w:rPr>
              <w:t>Управление по делам ГО и ЧС города Благовещенска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5767DA" w:rsidRPr="007C3007" w14:paraId="506E7DF6" w14:textId="77777777" w:rsidTr="008232D3">
        <w:tc>
          <w:tcPr>
            <w:tcW w:w="3686" w:type="dxa"/>
            <w:shd w:val="clear" w:color="auto" w:fill="auto"/>
            <w:vAlign w:val="center"/>
          </w:tcPr>
          <w:p w14:paraId="47471BA0" w14:textId="6F90240A" w:rsidR="005767DA" w:rsidRPr="008232D3" w:rsidRDefault="005E6932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Оказание услуг по модернизации муниципальной геоинформационной системы города Благовещенска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BA152" w14:textId="45E3CAB0" w:rsidR="005767DA" w:rsidRPr="008232D3" w:rsidRDefault="005E6932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11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999</w:t>
            </w:r>
            <w:r w:rsidR="007D21FA" w:rsidRPr="008232D3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060,08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87240" w14:textId="023CC541" w:rsidR="005767DA" w:rsidRPr="008232D3" w:rsidRDefault="005767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АО «</w:t>
            </w:r>
            <w:r w:rsidR="005E6932" w:rsidRPr="008232D3">
              <w:rPr>
                <w:rFonts w:ascii="Times New Roman" w:hAnsi="Times New Roman"/>
                <w:lang w:eastAsia="en-US"/>
              </w:rPr>
              <w:t>ТЕХКОНСУР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6F3C237" w14:textId="31210209" w:rsidR="005767DA" w:rsidRPr="008232D3" w:rsidRDefault="005E6932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Администрация города Благовещенска</w:t>
            </w:r>
          </w:p>
        </w:tc>
      </w:tr>
    </w:tbl>
    <w:p w14:paraId="4638399A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70EE1B3" w14:textId="77777777" w:rsidR="00056AFD" w:rsidRPr="007C3007" w:rsidRDefault="00056AF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FC00E23" w14:textId="4E0E19E2" w:rsidR="00C05294" w:rsidRPr="00D85EB6" w:rsidRDefault="0043675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Контроль в сфере закупок</w:t>
      </w:r>
    </w:p>
    <w:p w14:paraId="25EB1CDF" w14:textId="77777777" w:rsidR="00C05294" w:rsidRPr="00D85EB6" w:rsidRDefault="00C05294" w:rsidP="00C052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5E3522C" w14:textId="7AFAE635" w:rsidR="00C05294" w:rsidRPr="00D85EB6" w:rsidRDefault="0043675D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.1. </w:t>
      </w:r>
      <w:r w:rsidR="003A5CCC"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>Рассмотрение жалоб участников закупок</w:t>
      </w:r>
    </w:p>
    <w:p w14:paraId="48283D5D" w14:textId="77777777" w:rsidR="004204CE" w:rsidRPr="007C3007" w:rsidRDefault="004204CE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F68280A" w14:textId="77777777" w:rsidR="004204CE" w:rsidRPr="003A5CCC" w:rsidRDefault="004204C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данным  ЕИС  в  разделе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Реестр  жалоб,  плановых  и  внеплановых </w:t>
      </w:r>
    </w:p>
    <w:p w14:paraId="4AD9A7F8" w14:textId="4435541C" w:rsidR="004204CE" w:rsidRPr="00E237BE" w:rsidRDefault="004204C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проверок,  их  результатов  и  выданных  предписаний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за  </w:t>
      </w:r>
      <w:r w:rsidR="00D446B4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D446B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D446B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 Федеральной  антимонопольной  службы  по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Амурской области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(далее 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="006B5C9E">
        <w:rPr>
          <w:rFonts w:ascii="Times New Roman" w:eastAsia="Times New Roman" w:hAnsi="Times New Roman"/>
          <w:sz w:val="28"/>
          <w:szCs w:val="28"/>
          <w:lang w:eastAsia="en-US"/>
        </w:rPr>
        <w:t>ское УФАС России) поступило 5</w:t>
      </w:r>
      <w:r w:rsidRPr="00B8283F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членов. </w:t>
      </w:r>
    </w:p>
    <w:p w14:paraId="76449821" w14:textId="6F969061" w:rsidR="0095271B" w:rsidRPr="00B8283F" w:rsidRDefault="004204CE" w:rsidP="00B82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В результате рассмотрения</w:t>
      </w:r>
      <w:r w:rsidR="005F24AE" w:rsidRPr="005F24AE">
        <w:rPr>
          <w:rFonts w:ascii="Times New Roman" w:hAnsi="Times New Roman"/>
          <w:bCs/>
          <w:sz w:val="28"/>
          <w:szCs w:val="28"/>
        </w:rPr>
        <w:t xml:space="preserve"> </w:t>
      </w:r>
      <w:r w:rsidR="005F24AE" w:rsidRPr="000F3274">
        <w:rPr>
          <w:rFonts w:ascii="Times New Roman" w:hAnsi="Times New Roman"/>
          <w:bCs/>
          <w:sz w:val="28"/>
          <w:szCs w:val="28"/>
        </w:rPr>
        <w:t>комиссией УФАС по Амурской области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все 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жалоб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признаны необоснованными, 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>что говорит о грамотном подходе к разработке документаций, подготовке технических заданий и обоснований начальн</w:t>
      </w:r>
      <w:r w:rsidR="00332105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 (максимальн</w:t>
      </w:r>
      <w:r w:rsidR="00332105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>) цен контрактов</w:t>
      </w:r>
      <w:r w:rsidR="00E237BE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2E61C3D2" w14:textId="2CB1443A" w:rsidR="008D2100" w:rsidRDefault="00E237B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• </w:t>
      </w:r>
      <w:r w:rsidR="00D84B99">
        <w:rPr>
          <w:rFonts w:ascii="Times New Roman" w:eastAsia="Times New Roman" w:hAnsi="Times New Roman"/>
          <w:sz w:val="28"/>
          <w:szCs w:val="28"/>
          <w:lang w:eastAsia="en-US"/>
        </w:rPr>
        <w:t xml:space="preserve">3 </w:t>
      </w:r>
      <w:r w:rsidRPr="000F3274">
        <w:rPr>
          <w:rFonts w:ascii="Times New Roman" w:hAnsi="Times New Roman"/>
          <w:bCs/>
          <w:sz w:val="28"/>
          <w:szCs w:val="28"/>
        </w:rPr>
        <w:t>жалоб</w:t>
      </w:r>
      <w:r w:rsidR="00D84B99">
        <w:rPr>
          <w:rFonts w:ascii="Times New Roman" w:hAnsi="Times New Roman"/>
          <w:bCs/>
          <w:sz w:val="28"/>
          <w:szCs w:val="28"/>
        </w:rPr>
        <w:t xml:space="preserve">ы от ООО «ДЖУЛИ» </w:t>
      </w:r>
      <w:r w:rsidR="003D06B3">
        <w:rPr>
          <w:rFonts w:ascii="Times New Roman" w:hAnsi="Times New Roman"/>
          <w:bCs/>
          <w:sz w:val="28"/>
          <w:szCs w:val="28"/>
        </w:rPr>
        <w:t xml:space="preserve"> на положения аукционных документаций</w:t>
      </w:r>
      <w:r w:rsidRPr="000F3274">
        <w:rPr>
          <w:rFonts w:ascii="Times New Roman" w:hAnsi="Times New Roman"/>
          <w:bCs/>
          <w:sz w:val="28"/>
          <w:szCs w:val="28"/>
        </w:rPr>
        <w:t xml:space="preserve">  на </w:t>
      </w:r>
      <w:r w:rsidR="00D446B4">
        <w:rPr>
          <w:rFonts w:ascii="Times New Roman" w:hAnsi="Times New Roman"/>
          <w:bCs/>
          <w:sz w:val="28"/>
          <w:szCs w:val="28"/>
        </w:rPr>
        <w:t>в</w:t>
      </w:r>
      <w:r w:rsidR="00D446B4" w:rsidRPr="00D446B4">
        <w:rPr>
          <w:rFonts w:ascii="Times New Roman" w:hAnsi="Times New Roman"/>
          <w:bCs/>
          <w:sz w:val="28"/>
          <w:szCs w:val="28"/>
        </w:rPr>
        <w:t>ыполнение работ по ремонту улично-дорожной сети г. Благовещенска</w:t>
      </w:r>
      <w:r w:rsidRPr="000F3274">
        <w:rPr>
          <w:rFonts w:ascii="Times New Roman" w:hAnsi="Times New Roman"/>
          <w:bCs/>
          <w:sz w:val="28"/>
          <w:szCs w:val="28"/>
        </w:rPr>
        <w:t>, выразившееся, по мнению заявителя, в нарушении положений  Закона о контрактной системе</w:t>
      </w:r>
      <w:r w:rsidR="00D84B99">
        <w:rPr>
          <w:rFonts w:ascii="Times New Roman" w:hAnsi="Times New Roman"/>
          <w:bCs/>
          <w:sz w:val="28"/>
          <w:szCs w:val="28"/>
        </w:rPr>
        <w:t>.</w:t>
      </w:r>
      <w:r w:rsidRPr="000F3274">
        <w:rPr>
          <w:rFonts w:ascii="Times New Roman" w:hAnsi="Times New Roman"/>
          <w:bCs/>
          <w:sz w:val="28"/>
          <w:szCs w:val="28"/>
        </w:rPr>
        <w:t xml:space="preserve"> </w:t>
      </w:r>
      <w:r w:rsidR="00D84B99" w:rsidRPr="000F3274">
        <w:rPr>
          <w:rFonts w:ascii="Times New Roman" w:hAnsi="Times New Roman"/>
          <w:bCs/>
          <w:sz w:val="28"/>
          <w:szCs w:val="28"/>
        </w:rPr>
        <w:t>Заявител</w:t>
      </w:r>
      <w:r w:rsidR="00D84B99">
        <w:rPr>
          <w:rFonts w:ascii="Times New Roman" w:hAnsi="Times New Roman"/>
          <w:bCs/>
          <w:sz w:val="28"/>
          <w:szCs w:val="28"/>
        </w:rPr>
        <w:t>ь</w:t>
      </w:r>
      <w:r w:rsidR="00D84B99" w:rsidRPr="000F3274">
        <w:rPr>
          <w:rFonts w:ascii="Times New Roman" w:hAnsi="Times New Roman"/>
          <w:bCs/>
          <w:sz w:val="28"/>
          <w:szCs w:val="28"/>
        </w:rPr>
        <w:t xml:space="preserve">  указал, что </w:t>
      </w:r>
      <w:r w:rsidRPr="000F3274">
        <w:rPr>
          <w:rFonts w:ascii="Times New Roman" w:hAnsi="Times New Roman"/>
          <w:bCs/>
          <w:sz w:val="28"/>
          <w:szCs w:val="28"/>
        </w:rPr>
        <w:t>аукцион</w:t>
      </w:r>
      <w:r w:rsidR="00D446B4">
        <w:rPr>
          <w:rFonts w:ascii="Times New Roman" w:hAnsi="Times New Roman"/>
          <w:bCs/>
          <w:sz w:val="28"/>
          <w:szCs w:val="28"/>
        </w:rPr>
        <w:t>ная документация не соответствует требованиям законодательства</w:t>
      </w:r>
      <w:r w:rsidR="003D06B3">
        <w:rPr>
          <w:rFonts w:ascii="Times New Roman" w:hAnsi="Times New Roman"/>
          <w:bCs/>
          <w:sz w:val="28"/>
          <w:szCs w:val="28"/>
        </w:rPr>
        <w:t>;</w:t>
      </w:r>
    </w:p>
    <w:p w14:paraId="533A1EFE" w14:textId="520A5A0E" w:rsidR="000F3274" w:rsidRPr="000F3274" w:rsidRDefault="000F3274" w:rsidP="000F3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proofErr w:type="gramStart"/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 w:rsidRPr="000F3274">
        <w:rPr>
          <w:rFonts w:ascii="Times New Roman" w:hAnsi="Times New Roman"/>
          <w:bCs/>
          <w:sz w:val="28"/>
          <w:szCs w:val="28"/>
        </w:rPr>
        <w:t>жалоб</w:t>
      </w:r>
      <w:r w:rsidR="00D84B99">
        <w:rPr>
          <w:rFonts w:ascii="Times New Roman" w:hAnsi="Times New Roman"/>
          <w:bCs/>
          <w:sz w:val="28"/>
          <w:szCs w:val="28"/>
        </w:rPr>
        <w:t>а от ООО «ГК Континент»</w:t>
      </w:r>
      <w:r w:rsidRPr="000F3274">
        <w:rPr>
          <w:rFonts w:ascii="Times New Roman" w:hAnsi="Times New Roman"/>
          <w:bCs/>
          <w:sz w:val="28"/>
          <w:szCs w:val="28"/>
        </w:rPr>
        <w:t xml:space="preserve"> на положения аукционной документации на </w:t>
      </w:r>
      <w:r w:rsidR="00D84B99">
        <w:rPr>
          <w:rFonts w:ascii="Times New Roman" w:hAnsi="Times New Roman"/>
          <w:bCs/>
          <w:sz w:val="28"/>
          <w:szCs w:val="28"/>
        </w:rPr>
        <w:t>в</w:t>
      </w:r>
      <w:r w:rsidR="00D84B99" w:rsidRPr="00D446B4">
        <w:rPr>
          <w:rFonts w:ascii="Times New Roman" w:hAnsi="Times New Roman"/>
          <w:bCs/>
          <w:sz w:val="28"/>
          <w:szCs w:val="28"/>
        </w:rPr>
        <w:t>ыполнение работ по ремонту улично-дорожной сети г. Благовещенска</w:t>
      </w:r>
      <w:r w:rsidR="00D84B99" w:rsidRPr="000F3274">
        <w:rPr>
          <w:rFonts w:ascii="Times New Roman" w:hAnsi="Times New Roman"/>
          <w:bCs/>
          <w:sz w:val="28"/>
          <w:szCs w:val="28"/>
        </w:rPr>
        <w:t>, выразившееся, по мнению заявителя, в нарушении положений  Закона о контрактной системе</w:t>
      </w:r>
      <w:r w:rsidR="00E60967">
        <w:rPr>
          <w:rFonts w:ascii="Times New Roman" w:hAnsi="Times New Roman"/>
          <w:bCs/>
          <w:sz w:val="28"/>
          <w:szCs w:val="28"/>
        </w:rPr>
        <w:t>,</w:t>
      </w:r>
      <w:r w:rsidR="00D84B99" w:rsidRPr="00D84B99">
        <w:rPr>
          <w:rFonts w:ascii="Times New Roman" w:hAnsi="Times New Roman"/>
          <w:bCs/>
          <w:sz w:val="28"/>
          <w:szCs w:val="28"/>
        </w:rPr>
        <w:t xml:space="preserve"> </w:t>
      </w:r>
      <w:r w:rsidR="00D84B99" w:rsidRPr="000F3274">
        <w:rPr>
          <w:rFonts w:ascii="Times New Roman" w:hAnsi="Times New Roman"/>
          <w:bCs/>
          <w:sz w:val="28"/>
          <w:szCs w:val="28"/>
        </w:rPr>
        <w:t>а именно:</w:t>
      </w:r>
      <w:r w:rsidRPr="000F3274">
        <w:rPr>
          <w:rFonts w:ascii="Times New Roman" w:hAnsi="Times New Roman"/>
          <w:bCs/>
          <w:sz w:val="28"/>
          <w:szCs w:val="28"/>
        </w:rPr>
        <w:t xml:space="preserve"> </w:t>
      </w:r>
      <w:r w:rsidR="00E60967">
        <w:rPr>
          <w:rFonts w:ascii="Times New Roman" w:hAnsi="Times New Roman"/>
          <w:bCs/>
          <w:sz w:val="28"/>
          <w:szCs w:val="28"/>
        </w:rPr>
        <w:t xml:space="preserve">указании </w:t>
      </w:r>
      <w:r w:rsidRPr="000F3274">
        <w:rPr>
          <w:rFonts w:ascii="Times New Roman" w:hAnsi="Times New Roman"/>
          <w:bCs/>
          <w:sz w:val="28"/>
          <w:szCs w:val="28"/>
        </w:rPr>
        <w:t xml:space="preserve">в проекте контракта </w:t>
      </w:r>
      <w:r w:rsidR="00E60967">
        <w:rPr>
          <w:rFonts w:ascii="Times New Roman" w:hAnsi="Times New Roman"/>
          <w:bCs/>
          <w:sz w:val="28"/>
          <w:szCs w:val="28"/>
        </w:rPr>
        <w:t>порядка начисления пени без учета изменений в отдельные законодательные акты Российской Федерации по вопросам предупреждения и ликвидации чрезвычайных ситуаций</w:t>
      </w:r>
      <w:r w:rsidR="003D06B3">
        <w:rPr>
          <w:rFonts w:ascii="Times New Roman" w:hAnsi="Times New Roman"/>
          <w:bCs/>
          <w:sz w:val="28"/>
          <w:szCs w:val="28"/>
        </w:rPr>
        <w:t>;</w:t>
      </w:r>
      <w:r w:rsidRPr="000F3274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14:paraId="24B33CA8" w14:textId="1B320BA9" w:rsidR="00E237BE" w:rsidRPr="000F3274" w:rsidRDefault="00E237B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proofErr w:type="gramStart"/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 w:rsidRPr="000F3274">
        <w:rPr>
          <w:rFonts w:ascii="Times New Roman" w:hAnsi="Times New Roman"/>
          <w:bCs/>
          <w:sz w:val="28"/>
          <w:szCs w:val="28"/>
        </w:rPr>
        <w:t xml:space="preserve">жалоба </w:t>
      </w:r>
      <w:r w:rsidR="006B5C9E">
        <w:rPr>
          <w:rFonts w:ascii="Times New Roman" w:hAnsi="Times New Roman"/>
          <w:bCs/>
          <w:sz w:val="28"/>
          <w:szCs w:val="28"/>
        </w:rPr>
        <w:t xml:space="preserve">от Березовского Дмитрия Валерьевича </w:t>
      </w:r>
      <w:r w:rsidRPr="000F3274">
        <w:rPr>
          <w:rFonts w:ascii="Times New Roman" w:hAnsi="Times New Roman"/>
          <w:bCs/>
          <w:sz w:val="28"/>
          <w:szCs w:val="28"/>
        </w:rPr>
        <w:t xml:space="preserve">на положения аукционной документации  на выполнение работ по ремонту </w:t>
      </w:r>
      <w:r w:rsidR="006B5C9E">
        <w:rPr>
          <w:rFonts w:ascii="Times New Roman" w:hAnsi="Times New Roman"/>
          <w:bCs/>
          <w:sz w:val="28"/>
          <w:szCs w:val="28"/>
        </w:rPr>
        <w:t>трубопроводов ливневой канализации по ул. Горького от ул. Калинина до ул. Театральная</w:t>
      </w:r>
      <w:r w:rsidRPr="000F3274">
        <w:rPr>
          <w:rFonts w:ascii="Times New Roman" w:hAnsi="Times New Roman"/>
          <w:bCs/>
          <w:sz w:val="28"/>
          <w:szCs w:val="28"/>
        </w:rPr>
        <w:t xml:space="preserve">, выразившееся, по мнению заявителя, в нарушении положений  Закона о контрактной системе, </w:t>
      </w:r>
      <w:r w:rsidR="007B7B51">
        <w:rPr>
          <w:rFonts w:ascii="Times New Roman" w:hAnsi="Times New Roman"/>
          <w:bCs/>
          <w:sz w:val="28"/>
          <w:szCs w:val="28"/>
        </w:rPr>
        <w:t xml:space="preserve">имеющего  признаки ограничения конкуренции, неправильного определения требований к участникам закупки, </w:t>
      </w:r>
      <w:r w:rsidRPr="000F3274">
        <w:rPr>
          <w:rFonts w:ascii="Times New Roman" w:hAnsi="Times New Roman"/>
          <w:bCs/>
          <w:sz w:val="28"/>
          <w:szCs w:val="28"/>
        </w:rPr>
        <w:t xml:space="preserve">а именно: в </w:t>
      </w:r>
      <w:proofErr w:type="spellStart"/>
      <w:r w:rsidR="006B5C9E">
        <w:rPr>
          <w:rFonts w:ascii="Times New Roman" w:hAnsi="Times New Roman"/>
          <w:bCs/>
          <w:sz w:val="28"/>
          <w:szCs w:val="28"/>
        </w:rPr>
        <w:t>не</w:t>
      </w:r>
      <w:r w:rsidRPr="000F3274">
        <w:rPr>
          <w:rFonts w:ascii="Times New Roman" w:hAnsi="Times New Roman"/>
          <w:bCs/>
          <w:sz w:val="28"/>
          <w:szCs w:val="28"/>
        </w:rPr>
        <w:t>установлении</w:t>
      </w:r>
      <w:proofErr w:type="spellEnd"/>
      <w:r w:rsidRPr="000F3274">
        <w:rPr>
          <w:rFonts w:ascii="Times New Roman" w:hAnsi="Times New Roman"/>
          <w:bCs/>
          <w:sz w:val="28"/>
          <w:szCs w:val="28"/>
        </w:rPr>
        <w:t xml:space="preserve"> </w:t>
      </w:r>
      <w:r w:rsidR="006B5C9E">
        <w:rPr>
          <w:rFonts w:ascii="Times New Roman" w:hAnsi="Times New Roman"/>
          <w:bCs/>
          <w:sz w:val="28"/>
          <w:szCs w:val="28"/>
        </w:rPr>
        <w:t>заказчиком требований к участникам аукциона о членстве в саморегулируемой</w:t>
      </w:r>
      <w:proofErr w:type="gramEnd"/>
      <w:r w:rsidR="006B5C9E">
        <w:rPr>
          <w:rFonts w:ascii="Times New Roman" w:hAnsi="Times New Roman"/>
          <w:bCs/>
          <w:sz w:val="28"/>
          <w:szCs w:val="28"/>
        </w:rPr>
        <w:t xml:space="preserve"> организации в области строительства, реконструкции, капитального ремонта объектов капитального строительства</w:t>
      </w:r>
      <w:r w:rsidRPr="000F3274">
        <w:rPr>
          <w:rFonts w:ascii="Times New Roman" w:hAnsi="Times New Roman"/>
          <w:bCs/>
          <w:sz w:val="28"/>
          <w:szCs w:val="28"/>
        </w:rPr>
        <w:t xml:space="preserve">. </w:t>
      </w:r>
    </w:p>
    <w:p w14:paraId="178D8E8E" w14:textId="6E6B93E5" w:rsidR="00D61038" w:rsidRDefault="007B7B51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C30D3">
        <w:rPr>
          <w:rFonts w:ascii="Times New Roman" w:eastAsia="Times New Roman" w:hAnsi="Times New Roman"/>
          <w:sz w:val="28"/>
          <w:szCs w:val="28"/>
          <w:lang w:eastAsia="en-US"/>
        </w:rPr>
        <w:t xml:space="preserve">     </w:t>
      </w:r>
    </w:p>
    <w:p w14:paraId="0DF83374" w14:textId="0C30EEB4" w:rsidR="00763146" w:rsidRPr="007D5B42" w:rsidRDefault="00E237BE" w:rsidP="007D5B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proofErr w:type="gramStart"/>
      <w:r w:rsidR="004204CE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</w:t>
      </w:r>
      <w:r w:rsidR="004204CE">
        <w:rPr>
          <w:rFonts w:ascii="Times New Roman" w:hAnsi="Times New Roman"/>
          <w:bCs/>
          <w:sz w:val="28"/>
          <w:szCs w:val="28"/>
        </w:rPr>
        <w:t xml:space="preserve">Амурский УФАС России приняло решение о включении сведений (информации) об </w:t>
      </w:r>
      <w:r w:rsidR="00BF44FF">
        <w:rPr>
          <w:rFonts w:ascii="Times New Roman" w:hAnsi="Times New Roman"/>
          <w:bCs/>
          <w:sz w:val="28"/>
          <w:szCs w:val="28"/>
        </w:rPr>
        <w:t>обществе с ограниченной ответственностью</w:t>
      </w:r>
      <w:r w:rsidR="004204CE">
        <w:rPr>
          <w:rFonts w:ascii="Times New Roman" w:hAnsi="Times New Roman"/>
          <w:bCs/>
          <w:sz w:val="28"/>
          <w:szCs w:val="28"/>
        </w:rPr>
        <w:t xml:space="preserve"> «</w:t>
      </w:r>
      <w:r w:rsidR="00D61038">
        <w:rPr>
          <w:rFonts w:ascii="Times New Roman" w:hAnsi="Times New Roman"/>
          <w:bCs/>
          <w:sz w:val="28"/>
          <w:szCs w:val="28"/>
        </w:rPr>
        <w:t>КОНТУР-А</w:t>
      </w:r>
      <w:r w:rsidR="004204CE">
        <w:rPr>
          <w:rFonts w:ascii="Times New Roman" w:hAnsi="Times New Roman"/>
          <w:bCs/>
          <w:sz w:val="28"/>
          <w:szCs w:val="28"/>
        </w:rPr>
        <w:t xml:space="preserve">», в том числе, в отношении </w:t>
      </w:r>
      <w:r w:rsidR="00D61038">
        <w:rPr>
          <w:rFonts w:ascii="Times New Roman" w:hAnsi="Times New Roman"/>
          <w:bCs/>
          <w:sz w:val="28"/>
          <w:szCs w:val="28"/>
        </w:rPr>
        <w:t xml:space="preserve">генерального директора и </w:t>
      </w:r>
      <w:r w:rsidR="004204CE">
        <w:rPr>
          <w:rFonts w:ascii="Times New Roman" w:hAnsi="Times New Roman"/>
          <w:bCs/>
          <w:sz w:val="28"/>
          <w:szCs w:val="28"/>
        </w:rPr>
        <w:t>учредителя</w:t>
      </w:r>
      <w:r w:rsidR="00D61038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="00D61038">
        <w:rPr>
          <w:rFonts w:ascii="Times New Roman" w:hAnsi="Times New Roman"/>
          <w:bCs/>
          <w:sz w:val="28"/>
          <w:szCs w:val="28"/>
        </w:rPr>
        <w:t>Кудревич</w:t>
      </w:r>
      <w:proofErr w:type="spellEnd"/>
      <w:r w:rsidR="00D61038">
        <w:rPr>
          <w:rFonts w:ascii="Times New Roman" w:hAnsi="Times New Roman"/>
          <w:bCs/>
          <w:sz w:val="28"/>
          <w:szCs w:val="28"/>
        </w:rPr>
        <w:t xml:space="preserve"> Александра </w:t>
      </w:r>
      <w:r w:rsidR="00BF44FF">
        <w:rPr>
          <w:rFonts w:ascii="Times New Roman" w:hAnsi="Times New Roman"/>
          <w:bCs/>
          <w:sz w:val="28"/>
          <w:szCs w:val="28"/>
        </w:rPr>
        <w:t>В</w:t>
      </w:r>
      <w:r w:rsidR="00D61038">
        <w:rPr>
          <w:rFonts w:ascii="Times New Roman" w:hAnsi="Times New Roman"/>
          <w:bCs/>
          <w:sz w:val="28"/>
          <w:szCs w:val="28"/>
        </w:rPr>
        <w:t>алерьевича</w:t>
      </w:r>
      <w:r w:rsidR="004204CE">
        <w:rPr>
          <w:rFonts w:ascii="Times New Roman" w:hAnsi="Times New Roman"/>
          <w:bCs/>
          <w:sz w:val="28"/>
          <w:szCs w:val="28"/>
        </w:rPr>
        <w:t xml:space="preserve"> </w:t>
      </w:r>
      <w:r w:rsidR="00BF44FF">
        <w:rPr>
          <w:rFonts w:ascii="Times New Roman" w:hAnsi="Times New Roman"/>
          <w:bCs/>
          <w:sz w:val="28"/>
          <w:szCs w:val="28"/>
        </w:rPr>
        <w:t>и учредителя общества</w:t>
      </w:r>
      <w:r w:rsidR="004204CE"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="00BF44FF">
        <w:rPr>
          <w:rFonts w:ascii="Times New Roman" w:hAnsi="Times New Roman"/>
          <w:bCs/>
          <w:sz w:val="28"/>
          <w:szCs w:val="28"/>
        </w:rPr>
        <w:t>Кудревич</w:t>
      </w:r>
      <w:proofErr w:type="spellEnd"/>
      <w:r w:rsidR="00BF44FF">
        <w:rPr>
          <w:rFonts w:ascii="Times New Roman" w:hAnsi="Times New Roman"/>
          <w:bCs/>
          <w:sz w:val="28"/>
          <w:szCs w:val="28"/>
        </w:rPr>
        <w:t xml:space="preserve">  Елены Анатольевны </w:t>
      </w:r>
      <w:r w:rsidR="004204CE">
        <w:rPr>
          <w:rFonts w:ascii="Times New Roman" w:hAnsi="Times New Roman"/>
          <w:bCs/>
          <w:sz w:val="28"/>
          <w:szCs w:val="28"/>
        </w:rPr>
        <w:t xml:space="preserve">в реестр недобросовестных поставщиков сроком на 2 года, в результате рассмотрения информации </w:t>
      </w:r>
      <w:r w:rsidR="00BF44FF">
        <w:rPr>
          <w:rFonts w:ascii="Times New Roman" w:hAnsi="Times New Roman"/>
          <w:bCs/>
          <w:sz w:val="28"/>
          <w:szCs w:val="28"/>
        </w:rPr>
        <w:t>муниципального заказчика - администрации</w:t>
      </w:r>
      <w:r w:rsidR="004204CE">
        <w:rPr>
          <w:rFonts w:ascii="Times New Roman" w:hAnsi="Times New Roman"/>
          <w:bCs/>
          <w:sz w:val="28"/>
          <w:szCs w:val="28"/>
        </w:rPr>
        <w:t xml:space="preserve"> города Благовещенска об уклонении ООО «</w:t>
      </w:r>
      <w:r w:rsidR="00BF44FF">
        <w:rPr>
          <w:rFonts w:ascii="Times New Roman" w:hAnsi="Times New Roman"/>
          <w:bCs/>
          <w:sz w:val="28"/>
          <w:szCs w:val="28"/>
        </w:rPr>
        <w:t>КОНТУР-А</w:t>
      </w:r>
      <w:r w:rsidR="004204CE">
        <w:rPr>
          <w:rFonts w:ascii="Times New Roman" w:hAnsi="Times New Roman"/>
          <w:bCs/>
          <w:sz w:val="28"/>
          <w:szCs w:val="28"/>
        </w:rPr>
        <w:t>» от заключения муниципального</w:t>
      </w:r>
      <w:proofErr w:type="gramEnd"/>
      <w:r w:rsidR="004204CE">
        <w:rPr>
          <w:rFonts w:ascii="Times New Roman" w:hAnsi="Times New Roman"/>
          <w:bCs/>
          <w:sz w:val="28"/>
          <w:szCs w:val="28"/>
        </w:rPr>
        <w:t xml:space="preserve"> контракта по результатам электронного аукциона на </w:t>
      </w:r>
      <w:r w:rsidR="00BF44FF">
        <w:rPr>
          <w:rFonts w:ascii="Times New Roman" w:hAnsi="Times New Roman"/>
          <w:bCs/>
          <w:sz w:val="28"/>
          <w:szCs w:val="28"/>
        </w:rPr>
        <w:t>о</w:t>
      </w:r>
      <w:r w:rsidR="00BF44FF" w:rsidRPr="00BF44FF">
        <w:rPr>
          <w:rFonts w:ascii="Times New Roman" w:hAnsi="Times New Roman"/>
          <w:bCs/>
          <w:sz w:val="28"/>
          <w:szCs w:val="28"/>
        </w:rPr>
        <w:t xml:space="preserve">казание услуг по организации и проведению городского спортивно-массового мероприятия - День Здоровья: </w:t>
      </w:r>
      <w:r w:rsidR="00BF44FF">
        <w:rPr>
          <w:rFonts w:ascii="Times New Roman" w:hAnsi="Times New Roman"/>
          <w:bCs/>
          <w:sz w:val="28"/>
          <w:szCs w:val="28"/>
        </w:rPr>
        <w:t>«</w:t>
      </w:r>
      <w:r w:rsidR="00BF44FF" w:rsidRPr="00BF44FF">
        <w:rPr>
          <w:rFonts w:ascii="Times New Roman" w:hAnsi="Times New Roman"/>
          <w:bCs/>
          <w:sz w:val="28"/>
          <w:szCs w:val="28"/>
        </w:rPr>
        <w:t>Лыжня-2021</w:t>
      </w:r>
      <w:r w:rsidR="00BF44FF">
        <w:rPr>
          <w:rFonts w:ascii="Times New Roman" w:hAnsi="Times New Roman"/>
          <w:bCs/>
          <w:sz w:val="28"/>
          <w:szCs w:val="28"/>
        </w:rPr>
        <w:t>»</w:t>
      </w:r>
      <w:r w:rsidR="004204CE">
        <w:rPr>
          <w:rFonts w:ascii="Times New Roman" w:hAnsi="Times New Roman"/>
          <w:bCs/>
          <w:sz w:val="28"/>
          <w:szCs w:val="28"/>
        </w:rPr>
        <w:t>.</w:t>
      </w:r>
    </w:p>
    <w:p w14:paraId="5F574D2A" w14:textId="2CFC8AB8" w:rsidR="00763146" w:rsidRDefault="00763146" w:rsidP="007631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>1 квартале 2020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а </w:t>
      </w:r>
      <w:proofErr w:type="gramStart"/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D42D2F" w:rsidRPr="005C64C2">
        <w:rPr>
          <w:rFonts w:ascii="Times New Roman" w:hAnsi="Times New Roman"/>
          <w:bCs/>
          <w:sz w:val="28"/>
          <w:szCs w:val="28"/>
        </w:rPr>
        <w:t>Амурски</w:t>
      </w:r>
      <w:r w:rsidR="00B810C3">
        <w:rPr>
          <w:rFonts w:ascii="Times New Roman" w:hAnsi="Times New Roman"/>
          <w:bCs/>
          <w:sz w:val="28"/>
          <w:szCs w:val="28"/>
        </w:rPr>
        <w:t>й</w:t>
      </w:r>
      <w:proofErr w:type="gramEnd"/>
      <w:r w:rsidR="00D42D2F" w:rsidRPr="005C64C2">
        <w:rPr>
          <w:rFonts w:ascii="Times New Roman" w:hAnsi="Times New Roman"/>
          <w:bCs/>
          <w:sz w:val="28"/>
          <w:szCs w:val="28"/>
        </w:rPr>
        <w:t xml:space="preserve"> УФАС России 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жалобы </w:t>
      </w:r>
      <w:r w:rsidR="00B810C3" w:rsidRPr="009D3FA0">
        <w:rPr>
          <w:rFonts w:ascii="Times New Roman" w:eastAsia="Times New Roman" w:hAnsi="Times New Roman"/>
          <w:sz w:val="28"/>
          <w:szCs w:val="28"/>
          <w:lang w:eastAsia="en-US"/>
        </w:rPr>
        <w:t>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</w:t>
      </w:r>
      <w:r w:rsidR="00B810C3">
        <w:rPr>
          <w:rFonts w:ascii="Times New Roman" w:eastAsia="Times New Roman" w:hAnsi="Times New Roman"/>
          <w:sz w:val="28"/>
          <w:szCs w:val="28"/>
          <w:lang w:eastAsia="en-US"/>
        </w:rPr>
        <w:t xml:space="preserve"> не поступали</w:t>
      </w:r>
      <w:r w:rsidRPr="00561E0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675EC71" w14:textId="77777777" w:rsidR="008C6F46" w:rsidRDefault="008C6F46" w:rsidP="00C26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28349E0" w14:textId="5401A8F0" w:rsidR="00432B53" w:rsidRPr="00432B53" w:rsidRDefault="005A3A65" w:rsidP="00542A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42A45"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A54042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.2. </w:t>
      </w:r>
      <w:r w:rsidR="00432B53"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Рассмотрение обращений о согласовании возможности заключения </w:t>
      </w:r>
    </w:p>
    <w:p w14:paraId="5642CFA9" w14:textId="11B60340" w:rsidR="00C05294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контракта с единственным поставщиком (исполнителем, подрядчиком)</w:t>
      </w:r>
    </w:p>
    <w:p w14:paraId="0EA75ECF" w14:textId="77777777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FC1F5" w14:textId="3015AEF4" w:rsidR="007C30D3" w:rsidRDefault="00F01216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в управление 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контроля в сфере закупок и финансов </w:t>
      </w:r>
      <w:r w:rsidR="002D15D2" w:rsidRPr="00491817">
        <w:rPr>
          <w:rFonts w:ascii="Times New Roman" w:eastAsia="Times New Roman" w:hAnsi="Times New Roman"/>
          <w:sz w:val="28"/>
          <w:szCs w:val="28"/>
        </w:rPr>
        <w:lastRenderedPageBreak/>
        <w:t xml:space="preserve">администрации </w:t>
      </w:r>
      <w:r w:rsidR="002D15D2" w:rsidRPr="002D15D2">
        <w:rPr>
          <w:rFonts w:ascii="Times New Roman" w:eastAsia="Times New Roman" w:hAnsi="Times New Roman"/>
          <w:sz w:val="28"/>
          <w:szCs w:val="28"/>
        </w:rPr>
        <w:t xml:space="preserve">города Благовещенска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(далее –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управление</w:t>
      </w:r>
      <w:r w:rsidR="002D15D2" w:rsidRP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2D15D2" w:rsidRPr="00F01216">
        <w:rPr>
          <w:rFonts w:ascii="Times New Roman" w:eastAsia="Times New Roman" w:hAnsi="Times New Roman"/>
          <w:sz w:val="28"/>
          <w:szCs w:val="28"/>
          <w:lang w:eastAsia="en-US"/>
        </w:rPr>
        <w:t>онтрол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поступило </w:t>
      </w:r>
      <w:r w:rsidR="0058531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обращени</w:t>
      </w:r>
      <w:r w:rsidR="0058531D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</w:t>
      </w:r>
      <w:r w:rsidR="007C3007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7C3007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о согласовании заключения контракт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с единственным поставщиком (подрядчиком, исполнителем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) в соответствии с Законом о контрактной системе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1074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56756CA5" w14:textId="77777777" w:rsidR="00B1074F" w:rsidRDefault="00B1074F" w:rsidP="008232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A78CEB" w14:textId="7B306675" w:rsidR="00432B53" w:rsidRPr="00650F2D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3.</w:t>
      </w:r>
      <w:r w:rsidR="007B59BC"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. Результаты внутреннего муниципального финансового контроля в сфере закупок</w:t>
      </w:r>
    </w:p>
    <w:p w14:paraId="0A179B93" w14:textId="77777777" w:rsidR="002D15D2" w:rsidRPr="00650F2D" w:rsidRDefault="002D15D2" w:rsidP="002D15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AF6543" w14:textId="465707A7" w:rsidR="002D15D2" w:rsidRPr="00650F2D" w:rsidRDefault="002D15D2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50F2D">
        <w:rPr>
          <w:rFonts w:ascii="Times New Roman" w:eastAsia="Times New Roman" w:hAnsi="Times New Roman"/>
          <w:sz w:val="28"/>
          <w:szCs w:val="28"/>
        </w:rPr>
        <w:t xml:space="preserve">Управлением контроля за </w:t>
      </w:r>
      <w:r w:rsidR="0058531D">
        <w:rPr>
          <w:rFonts w:ascii="Times New Roman" w:eastAsia="Times New Roman" w:hAnsi="Times New Roman"/>
          <w:sz w:val="28"/>
          <w:szCs w:val="28"/>
        </w:rPr>
        <w:t xml:space="preserve">1 квартал </w:t>
      </w:r>
      <w:r w:rsidRPr="00650F2D">
        <w:rPr>
          <w:rFonts w:ascii="Times New Roman" w:eastAsia="Times New Roman" w:hAnsi="Times New Roman"/>
          <w:sz w:val="28"/>
          <w:szCs w:val="28"/>
        </w:rPr>
        <w:t>202</w:t>
      </w:r>
      <w:r w:rsidR="0058531D">
        <w:rPr>
          <w:rFonts w:ascii="Times New Roman" w:eastAsia="Times New Roman" w:hAnsi="Times New Roman"/>
          <w:sz w:val="28"/>
          <w:szCs w:val="28"/>
        </w:rPr>
        <w:t>1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58531D">
        <w:rPr>
          <w:rFonts w:ascii="Times New Roman" w:eastAsia="Times New Roman" w:hAnsi="Times New Roman"/>
          <w:sz w:val="28"/>
          <w:szCs w:val="28"/>
        </w:rPr>
        <w:t>а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</w:t>
      </w:r>
      <w:r w:rsidR="006D52AC">
        <w:rPr>
          <w:rFonts w:ascii="Times New Roman" w:eastAsia="Times New Roman" w:hAnsi="Times New Roman"/>
          <w:sz w:val="28"/>
          <w:szCs w:val="28"/>
        </w:rPr>
        <w:t>выполнены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следующие </w:t>
      </w:r>
      <w:r w:rsidR="0058531D">
        <w:rPr>
          <w:rFonts w:ascii="Times New Roman" w:eastAsia="Times New Roman" w:hAnsi="Times New Roman"/>
          <w:sz w:val="28"/>
          <w:szCs w:val="28"/>
        </w:rPr>
        <w:t>мероприятия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7DBDE310" w14:textId="7EEB582A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58531D">
        <w:rPr>
          <w:rFonts w:ascii="Times New Roman" w:eastAsia="Times New Roman" w:hAnsi="Times New Roman"/>
          <w:sz w:val="28"/>
          <w:szCs w:val="28"/>
        </w:rPr>
        <w:t xml:space="preserve">. Проведено 6 проверок в соответствии с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Законом о контрактной системе</w:t>
      </w:r>
      <w:r w:rsidRPr="0058531D">
        <w:rPr>
          <w:rFonts w:ascii="Times New Roman" w:eastAsia="Times New Roman" w:hAnsi="Times New Roman"/>
          <w:sz w:val="28"/>
          <w:szCs w:val="28"/>
        </w:rPr>
        <w:t xml:space="preserve">, в том числе: </w:t>
      </w:r>
    </w:p>
    <w:p w14:paraId="78BCDD3D" w14:textId="1613BA09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58531D">
        <w:rPr>
          <w:rFonts w:ascii="Times New Roman" w:eastAsia="Times New Roman" w:hAnsi="Times New Roman"/>
          <w:sz w:val="28"/>
          <w:szCs w:val="28"/>
        </w:rPr>
        <w:t>.1. В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рамках осуществления </w:t>
      </w:r>
      <w:proofErr w:type="gramStart"/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соблюдением законодательства о </w:t>
      </w:r>
      <w:r w:rsidRPr="0058531D">
        <w:rPr>
          <w:rFonts w:ascii="Times New Roman" w:eastAsia="Times New Roman" w:hAnsi="Times New Roman"/>
          <w:sz w:val="28"/>
          <w:szCs w:val="28"/>
        </w:rPr>
        <w:t>контрактной системе в сфере закупок товаров, работ, услуг для обеспечения муниципальных нужд города Благовещенска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проведено:</w:t>
      </w:r>
    </w:p>
    <w:p w14:paraId="008053BE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- 2 плановые (выездные) проверки;</w:t>
      </w:r>
    </w:p>
    <w:p w14:paraId="561946C3" w14:textId="5ECEC2EC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- 2 внеплановые камеральные проверки в рамках рассмотрения обращения о согласовании заключения контракта с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динственным поставщиком (подрядчиком, исполнителем)</w:t>
      </w:r>
      <w:r w:rsidRPr="0058531D">
        <w:rPr>
          <w:rFonts w:ascii="Times New Roman" w:eastAsia="Times New Roman" w:hAnsi="Times New Roman"/>
          <w:sz w:val="28"/>
          <w:szCs w:val="28"/>
        </w:rPr>
        <w:t>.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2BC7D29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плановых проверок были выявлены следующие нарушения: </w:t>
      </w:r>
    </w:p>
    <w:p w14:paraId="341A566D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заполнение плана-графика с нарушением требований законодательства; </w:t>
      </w:r>
    </w:p>
    <w:p w14:paraId="717266D7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отсутствие электронно-цифровых подписей на работников контрактной службы, ответственных за размещение информации на сайте ЕИС;</w:t>
      </w:r>
    </w:p>
    <w:p w14:paraId="4CE03EBD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проекты муниципальных контрактов не соответствуют типовым контрактам;</w:t>
      </w:r>
    </w:p>
    <w:p w14:paraId="51D3C36F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в проектах муниципальных контрактов и заключенных по ним муниципальных контрактах обязанность Заказчика требовать оплаты неустойки (штрафа, пени) отражено как право;</w:t>
      </w:r>
    </w:p>
    <w:p w14:paraId="43FD4CF2" w14:textId="4B8261D0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нарушение срока направления проекта контракта </w:t>
      </w:r>
      <w:r w:rsidR="006D5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одрядчику и срока  подписания контракта, установленного частью 7 статьи 83.2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Закона о контрактной системе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77DAEA9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нарушение срока направления в реестр контрактов информации и сведений о заключении, изменении и исполнении муниципальных контрактов;</w:t>
      </w:r>
    </w:p>
    <w:p w14:paraId="5BA285ED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размещение недостоверной (неполной, некорректной) информации о поставщике, об изменении условий контракта, о </w:t>
      </w:r>
      <w:proofErr w:type="gramStart"/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документах</w:t>
      </w:r>
      <w:proofErr w:type="gramEnd"/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 приемке, а также размещение документов (дополнительные соглашения к муниципальным контрактам и акты выполненных работ) не в полном объеме;</w:t>
      </w:r>
    </w:p>
    <w:p w14:paraId="04F8AA98" w14:textId="77BF7160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подписание актов приемки с нарушением требований части 7 статьи 94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Закона о контрактной системе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52B5465C" w14:textId="5874E8DE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заключение дополнительных соглашений об изменении видов и объемов работ с нарушением требований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Закона о контрактной системе</w:t>
      </w: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F5919A8" w14:textId="2E8639A9" w:rsidR="0058531D" w:rsidRPr="0058531D" w:rsidRDefault="0058531D" w:rsidP="00585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 xml:space="preserve">По результатам внеплановых проверок 2 обращения о согласовании заключения контрактов с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58531D">
        <w:rPr>
          <w:rFonts w:ascii="Times New Roman" w:eastAsiaTheme="minorHAnsi" w:hAnsi="Times New Roman"/>
          <w:sz w:val="28"/>
          <w:szCs w:val="28"/>
          <w:lang w:eastAsia="en-US"/>
        </w:rPr>
        <w:t>динственным поставщиком (подрядчиком, исполнителем) рассмотрены и выданы заключения о согласовании.</w:t>
      </w:r>
    </w:p>
    <w:p w14:paraId="6839FA86" w14:textId="327E842E" w:rsidR="0058531D" w:rsidRPr="0058531D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1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.1.2. В рамках осуществления внутреннего муниципального финансового контроля в отношении закупок товаров, работ, услуг проведены 2 плановые выездные проверки.</w:t>
      </w:r>
    </w:p>
    <w:p w14:paraId="134CE53D" w14:textId="77777777" w:rsidR="0058531D" w:rsidRPr="0058531D" w:rsidRDefault="0058531D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плановых проверок были выявлены следующие нарушения: </w:t>
      </w:r>
    </w:p>
    <w:p w14:paraId="0803009F" w14:textId="6A9454F4" w:rsidR="0058531D" w:rsidRPr="0058531D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- нарушение част</w:t>
      </w:r>
      <w:r w:rsidR="006D52AC">
        <w:rPr>
          <w:rFonts w:ascii="Times New Roman" w:eastAsia="Times New Roman" w:hAnsi="Times New Roman"/>
          <w:sz w:val="28"/>
          <w:szCs w:val="28"/>
          <w:shd w:val="clear" w:color="auto" w:fill="FFFFFF"/>
        </w:rPr>
        <w:t>ей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3, 4 статьи 19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Закона о контрактной системе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, постановления № 4088 (несоблюдение утвержденных нормативов цены  при осуществлении закупки);</w:t>
      </w:r>
    </w:p>
    <w:p w14:paraId="763B94B9" w14:textId="1FBA6292" w:rsidR="0058531D" w:rsidRPr="0058531D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заключение дополнительных соглашений об изменении видов и объемов работ с нарушением требований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Закона о контрактной системе</w:t>
      </w: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66C5698D" w14:textId="3100570F" w:rsidR="0058531D" w:rsidRPr="0058531D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4"/>
        </w:rPr>
      </w:pPr>
      <w:r w:rsidRPr="0058531D">
        <w:rPr>
          <w:rFonts w:ascii="Times New Roman" w:eastAsiaTheme="minorEastAsia" w:hAnsi="Times New Roman"/>
          <w:sz w:val="28"/>
          <w:szCs w:val="24"/>
        </w:rPr>
        <w:t xml:space="preserve">По результатам проведенных проверок предписания (представления) не выдавались, так как выявленные нарушения либо устранены </w:t>
      </w:r>
      <w:r w:rsidR="006D52AC">
        <w:rPr>
          <w:rFonts w:ascii="Times New Roman" w:eastAsiaTheme="minorEastAsia" w:hAnsi="Times New Roman"/>
          <w:sz w:val="28"/>
          <w:szCs w:val="24"/>
        </w:rPr>
        <w:t>з</w:t>
      </w:r>
      <w:r w:rsidRPr="0058531D">
        <w:rPr>
          <w:rFonts w:ascii="Times New Roman" w:eastAsiaTheme="minorEastAsia" w:hAnsi="Times New Roman"/>
          <w:sz w:val="28"/>
          <w:szCs w:val="24"/>
        </w:rPr>
        <w:t>аказчиками в ходе проверок, либо носят неустранимый характер.</w:t>
      </w:r>
    </w:p>
    <w:p w14:paraId="4F2B245F" w14:textId="19B40875" w:rsidR="00391069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8531D">
        <w:rPr>
          <w:rFonts w:ascii="Times New Roman" w:eastAsia="Times New Roman" w:hAnsi="Times New Roman"/>
          <w:sz w:val="28"/>
          <w:szCs w:val="28"/>
          <w:shd w:val="clear" w:color="auto" w:fill="FFFFFF"/>
        </w:rPr>
        <w:t>В рамках осуществления ведомственного контроля в сфере закупок товаров, работ, услуг за 1 квартал 2021 года проверки муниципальных учреждений и предприятий города не проводились</w:t>
      </w:r>
      <w:r w:rsidR="003F2188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4BEDEC4A" w14:textId="77777777" w:rsidR="0058531D" w:rsidRPr="00391069" w:rsidRDefault="0058531D" w:rsidP="005853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8531D" w:rsidRPr="00391069" w:rsidSect="00B72C5D">
      <w:headerReference w:type="default" r:id="rId17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2ED22" w14:textId="77777777" w:rsidR="005B3AC8" w:rsidRDefault="005B3AC8" w:rsidP="00060BC4">
      <w:pPr>
        <w:spacing w:after="0" w:line="240" w:lineRule="auto"/>
      </w:pPr>
      <w:r>
        <w:separator/>
      </w:r>
    </w:p>
  </w:endnote>
  <w:endnote w:type="continuationSeparator" w:id="0">
    <w:p w14:paraId="3F723500" w14:textId="77777777" w:rsidR="005B3AC8" w:rsidRDefault="005B3AC8" w:rsidP="0006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316A7" w14:textId="77777777" w:rsidR="005B3AC8" w:rsidRDefault="005B3AC8" w:rsidP="00060BC4">
      <w:pPr>
        <w:spacing w:after="0" w:line="240" w:lineRule="auto"/>
      </w:pPr>
      <w:r>
        <w:separator/>
      </w:r>
    </w:p>
  </w:footnote>
  <w:footnote w:type="continuationSeparator" w:id="0">
    <w:p w14:paraId="740B6D35" w14:textId="77777777" w:rsidR="005B3AC8" w:rsidRDefault="005B3AC8" w:rsidP="00060BC4">
      <w:pPr>
        <w:spacing w:after="0" w:line="240" w:lineRule="auto"/>
      </w:pPr>
      <w:r>
        <w:continuationSeparator/>
      </w:r>
    </w:p>
  </w:footnote>
  <w:footnote w:id="1">
    <w:p w14:paraId="477DAA80" w14:textId="77777777" w:rsidR="007C30D3" w:rsidRDefault="007C30D3" w:rsidP="003C659A">
      <w:pPr>
        <w:pStyle w:val="af7"/>
      </w:pPr>
      <w:r>
        <w:rPr>
          <w:rStyle w:val="af9"/>
        </w:rPr>
        <w:footnoteRef/>
      </w:r>
      <w:r>
        <w:t xml:space="preserve"> «Индекс одной заявки» - это показатель, рассчитываемый как отношение количества процедур закупок с одной поданной заявкой на участие к общему количеству закупок за отчетный период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445"/>
      <w:docPartObj>
        <w:docPartGallery w:val="Page Numbers (Top of Page)"/>
        <w:docPartUnique/>
      </w:docPartObj>
    </w:sdtPr>
    <w:sdtEndPr/>
    <w:sdtContent>
      <w:p w14:paraId="60AF8CE4" w14:textId="2631707F" w:rsidR="007C30D3" w:rsidRDefault="007C30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F7">
          <w:rPr>
            <w:noProof/>
          </w:rPr>
          <w:t>18</w:t>
        </w:r>
        <w:r>
          <w:fldChar w:fldCharType="end"/>
        </w:r>
      </w:p>
    </w:sdtContent>
  </w:sdt>
  <w:p w14:paraId="3F849BBC" w14:textId="77777777" w:rsidR="007C30D3" w:rsidRDefault="007C30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6A"/>
    <w:multiLevelType w:val="hybridMultilevel"/>
    <w:tmpl w:val="7E1E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84E4E"/>
    <w:multiLevelType w:val="hybridMultilevel"/>
    <w:tmpl w:val="106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969A6"/>
    <w:multiLevelType w:val="hybridMultilevel"/>
    <w:tmpl w:val="8D2C3A76"/>
    <w:lvl w:ilvl="0" w:tplc="F81E3C60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0C38"/>
    <w:multiLevelType w:val="hybridMultilevel"/>
    <w:tmpl w:val="4B6A9A88"/>
    <w:lvl w:ilvl="0" w:tplc="E8A0D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7387B3C"/>
    <w:multiLevelType w:val="hybridMultilevel"/>
    <w:tmpl w:val="B888F288"/>
    <w:lvl w:ilvl="0" w:tplc="CE60B8F2">
      <w:numFmt w:val="bullet"/>
      <w:lvlText w:val="•"/>
      <w:lvlJc w:val="left"/>
      <w:pPr>
        <w:ind w:left="1144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831B34"/>
    <w:multiLevelType w:val="hybridMultilevel"/>
    <w:tmpl w:val="AF1EBDB8"/>
    <w:lvl w:ilvl="0" w:tplc="BE0A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2F605B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8A0DDC"/>
    <w:multiLevelType w:val="hybridMultilevel"/>
    <w:tmpl w:val="F0D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E0531"/>
    <w:multiLevelType w:val="hybridMultilevel"/>
    <w:tmpl w:val="C48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32656A"/>
    <w:multiLevelType w:val="multilevel"/>
    <w:tmpl w:val="586822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11">
    <w:nsid w:val="4AAA0F86"/>
    <w:multiLevelType w:val="multilevel"/>
    <w:tmpl w:val="7654DB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D1355A"/>
    <w:multiLevelType w:val="hybridMultilevel"/>
    <w:tmpl w:val="0C28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47B39"/>
    <w:multiLevelType w:val="hybridMultilevel"/>
    <w:tmpl w:val="D52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33762B"/>
    <w:multiLevelType w:val="hybridMultilevel"/>
    <w:tmpl w:val="F3C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A742E0"/>
    <w:multiLevelType w:val="hybridMultilevel"/>
    <w:tmpl w:val="6120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15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8E"/>
    <w:rsid w:val="000008B7"/>
    <w:rsid w:val="00004253"/>
    <w:rsid w:val="00004652"/>
    <w:rsid w:val="0000523A"/>
    <w:rsid w:val="000052CE"/>
    <w:rsid w:val="000055E9"/>
    <w:rsid w:val="00006016"/>
    <w:rsid w:val="00006881"/>
    <w:rsid w:val="0000763A"/>
    <w:rsid w:val="00010AE8"/>
    <w:rsid w:val="00012266"/>
    <w:rsid w:val="00016839"/>
    <w:rsid w:val="00016A83"/>
    <w:rsid w:val="00017C31"/>
    <w:rsid w:val="000200B6"/>
    <w:rsid w:val="00021C00"/>
    <w:rsid w:val="00022DD9"/>
    <w:rsid w:val="00023872"/>
    <w:rsid w:val="00026912"/>
    <w:rsid w:val="00026F75"/>
    <w:rsid w:val="0003040E"/>
    <w:rsid w:val="00031C21"/>
    <w:rsid w:val="00032DC6"/>
    <w:rsid w:val="000362A1"/>
    <w:rsid w:val="00036B8D"/>
    <w:rsid w:val="00037B5F"/>
    <w:rsid w:val="00037CAD"/>
    <w:rsid w:val="00043FA4"/>
    <w:rsid w:val="000459CC"/>
    <w:rsid w:val="0005012A"/>
    <w:rsid w:val="00050255"/>
    <w:rsid w:val="0005548B"/>
    <w:rsid w:val="000559B3"/>
    <w:rsid w:val="00056AFD"/>
    <w:rsid w:val="00060BC4"/>
    <w:rsid w:val="00060C41"/>
    <w:rsid w:val="0006613E"/>
    <w:rsid w:val="000715AE"/>
    <w:rsid w:val="00074D8C"/>
    <w:rsid w:val="00075901"/>
    <w:rsid w:val="00081E93"/>
    <w:rsid w:val="0008284B"/>
    <w:rsid w:val="00083F73"/>
    <w:rsid w:val="000870D8"/>
    <w:rsid w:val="00087C99"/>
    <w:rsid w:val="00090457"/>
    <w:rsid w:val="00093468"/>
    <w:rsid w:val="000937B1"/>
    <w:rsid w:val="000942D3"/>
    <w:rsid w:val="000973A5"/>
    <w:rsid w:val="000A040F"/>
    <w:rsid w:val="000A07EB"/>
    <w:rsid w:val="000A24DF"/>
    <w:rsid w:val="000A2A08"/>
    <w:rsid w:val="000A523D"/>
    <w:rsid w:val="000A7563"/>
    <w:rsid w:val="000B2478"/>
    <w:rsid w:val="000B41CB"/>
    <w:rsid w:val="000B7E72"/>
    <w:rsid w:val="000C1962"/>
    <w:rsid w:val="000C3AA3"/>
    <w:rsid w:val="000D210D"/>
    <w:rsid w:val="000D2A69"/>
    <w:rsid w:val="000D5451"/>
    <w:rsid w:val="000D6310"/>
    <w:rsid w:val="000D6F19"/>
    <w:rsid w:val="000D70F1"/>
    <w:rsid w:val="000E1259"/>
    <w:rsid w:val="000E12FA"/>
    <w:rsid w:val="000E393D"/>
    <w:rsid w:val="000E501A"/>
    <w:rsid w:val="000E652B"/>
    <w:rsid w:val="000E7F02"/>
    <w:rsid w:val="000F044C"/>
    <w:rsid w:val="000F09BE"/>
    <w:rsid w:val="000F0C9A"/>
    <w:rsid w:val="000F239C"/>
    <w:rsid w:val="000F3274"/>
    <w:rsid w:val="000F3852"/>
    <w:rsid w:val="000F590A"/>
    <w:rsid w:val="000F7516"/>
    <w:rsid w:val="000F7DC5"/>
    <w:rsid w:val="001013E2"/>
    <w:rsid w:val="0010277A"/>
    <w:rsid w:val="0010481E"/>
    <w:rsid w:val="0010511E"/>
    <w:rsid w:val="001060B4"/>
    <w:rsid w:val="00106475"/>
    <w:rsid w:val="00106DD8"/>
    <w:rsid w:val="00110430"/>
    <w:rsid w:val="0011282B"/>
    <w:rsid w:val="00112E09"/>
    <w:rsid w:val="00113F82"/>
    <w:rsid w:val="00116EDE"/>
    <w:rsid w:val="001174E3"/>
    <w:rsid w:val="0011775C"/>
    <w:rsid w:val="00117E8D"/>
    <w:rsid w:val="001217B5"/>
    <w:rsid w:val="001230D4"/>
    <w:rsid w:val="001308A4"/>
    <w:rsid w:val="00132081"/>
    <w:rsid w:val="00132402"/>
    <w:rsid w:val="00134870"/>
    <w:rsid w:val="00136C6A"/>
    <w:rsid w:val="001431A3"/>
    <w:rsid w:val="00146CBD"/>
    <w:rsid w:val="00150037"/>
    <w:rsid w:val="001505D9"/>
    <w:rsid w:val="00150638"/>
    <w:rsid w:val="00153718"/>
    <w:rsid w:val="00154918"/>
    <w:rsid w:val="001553DB"/>
    <w:rsid w:val="00155918"/>
    <w:rsid w:val="00156379"/>
    <w:rsid w:val="00156930"/>
    <w:rsid w:val="001569A7"/>
    <w:rsid w:val="001572FA"/>
    <w:rsid w:val="001576FD"/>
    <w:rsid w:val="0016005A"/>
    <w:rsid w:val="001610FD"/>
    <w:rsid w:val="00163EA6"/>
    <w:rsid w:val="00164CBA"/>
    <w:rsid w:val="001658AD"/>
    <w:rsid w:val="001668E6"/>
    <w:rsid w:val="00167026"/>
    <w:rsid w:val="00170566"/>
    <w:rsid w:val="00171123"/>
    <w:rsid w:val="0017589B"/>
    <w:rsid w:val="0017604B"/>
    <w:rsid w:val="001804CA"/>
    <w:rsid w:val="00180C0C"/>
    <w:rsid w:val="0018159C"/>
    <w:rsid w:val="00181B00"/>
    <w:rsid w:val="00182595"/>
    <w:rsid w:val="0018277D"/>
    <w:rsid w:val="00185FC7"/>
    <w:rsid w:val="00186EE9"/>
    <w:rsid w:val="00187681"/>
    <w:rsid w:val="00187800"/>
    <w:rsid w:val="0019100A"/>
    <w:rsid w:val="00191569"/>
    <w:rsid w:val="0019296E"/>
    <w:rsid w:val="00192B1B"/>
    <w:rsid w:val="00192D85"/>
    <w:rsid w:val="00193342"/>
    <w:rsid w:val="001A05EF"/>
    <w:rsid w:val="001A1BDD"/>
    <w:rsid w:val="001A461E"/>
    <w:rsid w:val="001A4B1E"/>
    <w:rsid w:val="001A4C91"/>
    <w:rsid w:val="001A5DF8"/>
    <w:rsid w:val="001A60CA"/>
    <w:rsid w:val="001B13D6"/>
    <w:rsid w:val="001B1471"/>
    <w:rsid w:val="001B44C4"/>
    <w:rsid w:val="001B49C0"/>
    <w:rsid w:val="001B7295"/>
    <w:rsid w:val="001B76B8"/>
    <w:rsid w:val="001C0201"/>
    <w:rsid w:val="001C46EC"/>
    <w:rsid w:val="001D0F0F"/>
    <w:rsid w:val="001D2572"/>
    <w:rsid w:val="001D25E1"/>
    <w:rsid w:val="001D2DD4"/>
    <w:rsid w:val="001D3F03"/>
    <w:rsid w:val="001D41F4"/>
    <w:rsid w:val="001D4266"/>
    <w:rsid w:val="001D5102"/>
    <w:rsid w:val="001D5156"/>
    <w:rsid w:val="001D5714"/>
    <w:rsid w:val="001D5746"/>
    <w:rsid w:val="001D6360"/>
    <w:rsid w:val="001D74EA"/>
    <w:rsid w:val="001E1CEF"/>
    <w:rsid w:val="001E201C"/>
    <w:rsid w:val="001F01AE"/>
    <w:rsid w:val="001F3AA1"/>
    <w:rsid w:val="001F3D87"/>
    <w:rsid w:val="001F708E"/>
    <w:rsid w:val="00202590"/>
    <w:rsid w:val="00202E9F"/>
    <w:rsid w:val="00203110"/>
    <w:rsid w:val="00203390"/>
    <w:rsid w:val="00204757"/>
    <w:rsid w:val="002056AE"/>
    <w:rsid w:val="002101F6"/>
    <w:rsid w:val="002110D4"/>
    <w:rsid w:val="00211BA3"/>
    <w:rsid w:val="00212F80"/>
    <w:rsid w:val="0021353E"/>
    <w:rsid w:val="00216E71"/>
    <w:rsid w:val="002208A2"/>
    <w:rsid w:val="00226A99"/>
    <w:rsid w:val="00226C36"/>
    <w:rsid w:val="002274C5"/>
    <w:rsid w:val="00230CC8"/>
    <w:rsid w:val="00230FE7"/>
    <w:rsid w:val="00231BD0"/>
    <w:rsid w:val="00231C90"/>
    <w:rsid w:val="0023328B"/>
    <w:rsid w:val="00243B7B"/>
    <w:rsid w:val="00245DAA"/>
    <w:rsid w:val="0025059B"/>
    <w:rsid w:val="0025274D"/>
    <w:rsid w:val="002528B6"/>
    <w:rsid w:val="0025344E"/>
    <w:rsid w:val="00254C15"/>
    <w:rsid w:val="00255DDB"/>
    <w:rsid w:val="00256C85"/>
    <w:rsid w:val="002608D5"/>
    <w:rsid w:val="0026141F"/>
    <w:rsid w:val="00261A1D"/>
    <w:rsid w:val="0026279D"/>
    <w:rsid w:val="00262A5A"/>
    <w:rsid w:val="00263646"/>
    <w:rsid w:val="002650F8"/>
    <w:rsid w:val="00265F49"/>
    <w:rsid w:val="002665A9"/>
    <w:rsid w:val="00266E8D"/>
    <w:rsid w:val="00267556"/>
    <w:rsid w:val="002717AA"/>
    <w:rsid w:val="00271BC0"/>
    <w:rsid w:val="00271CE1"/>
    <w:rsid w:val="00274852"/>
    <w:rsid w:val="00274D12"/>
    <w:rsid w:val="00275E2C"/>
    <w:rsid w:val="00276A00"/>
    <w:rsid w:val="00276DAA"/>
    <w:rsid w:val="00281391"/>
    <w:rsid w:val="0028566D"/>
    <w:rsid w:val="00285C20"/>
    <w:rsid w:val="00286941"/>
    <w:rsid w:val="00286A42"/>
    <w:rsid w:val="002924F0"/>
    <w:rsid w:val="00293EA0"/>
    <w:rsid w:val="00296684"/>
    <w:rsid w:val="00296C47"/>
    <w:rsid w:val="002A11F0"/>
    <w:rsid w:val="002A1912"/>
    <w:rsid w:val="002A1B17"/>
    <w:rsid w:val="002A2162"/>
    <w:rsid w:val="002A5FAE"/>
    <w:rsid w:val="002A602C"/>
    <w:rsid w:val="002A69D9"/>
    <w:rsid w:val="002A7514"/>
    <w:rsid w:val="002A7780"/>
    <w:rsid w:val="002B0865"/>
    <w:rsid w:val="002B0DBB"/>
    <w:rsid w:val="002B2136"/>
    <w:rsid w:val="002B2446"/>
    <w:rsid w:val="002B52FA"/>
    <w:rsid w:val="002B70D3"/>
    <w:rsid w:val="002C515A"/>
    <w:rsid w:val="002C572C"/>
    <w:rsid w:val="002C7518"/>
    <w:rsid w:val="002D0C8C"/>
    <w:rsid w:val="002D13A1"/>
    <w:rsid w:val="002D15D2"/>
    <w:rsid w:val="002D2940"/>
    <w:rsid w:val="002D2B20"/>
    <w:rsid w:val="002E3245"/>
    <w:rsid w:val="002E3465"/>
    <w:rsid w:val="002E4926"/>
    <w:rsid w:val="002E5911"/>
    <w:rsid w:val="002E6819"/>
    <w:rsid w:val="002E7E34"/>
    <w:rsid w:val="002F1715"/>
    <w:rsid w:val="002F28C7"/>
    <w:rsid w:val="002F481C"/>
    <w:rsid w:val="002F4BD5"/>
    <w:rsid w:val="002F50E9"/>
    <w:rsid w:val="002F56D3"/>
    <w:rsid w:val="002F5C15"/>
    <w:rsid w:val="002F64A5"/>
    <w:rsid w:val="002F68C8"/>
    <w:rsid w:val="002F7931"/>
    <w:rsid w:val="00300B04"/>
    <w:rsid w:val="00301F6A"/>
    <w:rsid w:val="003033B7"/>
    <w:rsid w:val="00305369"/>
    <w:rsid w:val="00307D7C"/>
    <w:rsid w:val="00313AC0"/>
    <w:rsid w:val="0031490B"/>
    <w:rsid w:val="00314D2F"/>
    <w:rsid w:val="00316D12"/>
    <w:rsid w:val="0032184B"/>
    <w:rsid w:val="00321EA1"/>
    <w:rsid w:val="00321FEE"/>
    <w:rsid w:val="003230EC"/>
    <w:rsid w:val="00323AE1"/>
    <w:rsid w:val="00323DD4"/>
    <w:rsid w:val="00330F5F"/>
    <w:rsid w:val="00331173"/>
    <w:rsid w:val="00331279"/>
    <w:rsid w:val="003312BB"/>
    <w:rsid w:val="00331CFE"/>
    <w:rsid w:val="00332105"/>
    <w:rsid w:val="00332EEB"/>
    <w:rsid w:val="003333F4"/>
    <w:rsid w:val="0033355E"/>
    <w:rsid w:val="0033427D"/>
    <w:rsid w:val="00340C21"/>
    <w:rsid w:val="00345ADF"/>
    <w:rsid w:val="003465CF"/>
    <w:rsid w:val="0035136B"/>
    <w:rsid w:val="0035306E"/>
    <w:rsid w:val="003533B8"/>
    <w:rsid w:val="0035378B"/>
    <w:rsid w:val="00355F52"/>
    <w:rsid w:val="00360979"/>
    <w:rsid w:val="00363487"/>
    <w:rsid w:val="00366110"/>
    <w:rsid w:val="003663FA"/>
    <w:rsid w:val="00366B7F"/>
    <w:rsid w:val="003678EC"/>
    <w:rsid w:val="00372E77"/>
    <w:rsid w:val="0037360B"/>
    <w:rsid w:val="00375F8E"/>
    <w:rsid w:val="0037680A"/>
    <w:rsid w:val="0037784A"/>
    <w:rsid w:val="003807FC"/>
    <w:rsid w:val="00381039"/>
    <w:rsid w:val="00381BCA"/>
    <w:rsid w:val="0038282B"/>
    <w:rsid w:val="003835D6"/>
    <w:rsid w:val="003844F5"/>
    <w:rsid w:val="00385580"/>
    <w:rsid w:val="00386AB4"/>
    <w:rsid w:val="00390D3E"/>
    <w:rsid w:val="00391069"/>
    <w:rsid w:val="003912A3"/>
    <w:rsid w:val="00393E7B"/>
    <w:rsid w:val="00394109"/>
    <w:rsid w:val="00395520"/>
    <w:rsid w:val="003971C9"/>
    <w:rsid w:val="003A2B69"/>
    <w:rsid w:val="003A470F"/>
    <w:rsid w:val="003A5CCC"/>
    <w:rsid w:val="003A5D32"/>
    <w:rsid w:val="003A7493"/>
    <w:rsid w:val="003A7B6B"/>
    <w:rsid w:val="003A7FBB"/>
    <w:rsid w:val="003B131C"/>
    <w:rsid w:val="003B1B3D"/>
    <w:rsid w:val="003B2F92"/>
    <w:rsid w:val="003B32D2"/>
    <w:rsid w:val="003B54BF"/>
    <w:rsid w:val="003B689C"/>
    <w:rsid w:val="003B7153"/>
    <w:rsid w:val="003B7377"/>
    <w:rsid w:val="003B782C"/>
    <w:rsid w:val="003B7AC4"/>
    <w:rsid w:val="003C0C7D"/>
    <w:rsid w:val="003C0FFA"/>
    <w:rsid w:val="003C377F"/>
    <w:rsid w:val="003C3F65"/>
    <w:rsid w:val="003C4357"/>
    <w:rsid w:val="003C5CA5"/>
    <w:rsid w:val="003C64ED"/>
    <w:rsid w:val="003C659A"/>
    <w:rsid w:val="003D06B3"/>
    <w:rsid w:val="003D1DC3"/>
    <w:rsid w:val="003D2890"/>
    <w:rsid w:val="003D759B"/>
    <w:rsid w:val="003E0789"/>
    <w:rsid w:val="003E3B8F"/>
    <w:rsid w:val="003E6C21"/>
    <w:rsid w:val="003F0206"/>
    <w:rsid w:val="003F2188"/>
    <w:rsid w:val="003F2859"/>
    <w:rsid w:val="003F4CCE"/>
    <w:rsid w:val="003F5631"/>
    <w:rsid w:val="003F627F"/>
    <w:rsid w:val="003F6951"/>
    <w:rsid w:val="003F6E2D"/>
    <w:rsid w:val="003F7872"/>
    <w:rsid w:val="0040237D"/>
    <w:rsid w:val="00404948"/>
    <w:rsid w:val="00405B41"/>
    <w:rsid w:val="00406C49"/>
    <w:rsid w:val="004071C9"/>
    <w:rsid w:val="0040762C"/>
    <w:rsid w:val="00407D3D"/>
    <w:rsid w:val="00410F34"/>
    <w:rsid w:val="00411BAC"/>
    <w:rsid w:val="00411C28"/>
    <w:rsid w:val="00416839"/>
    <w:rsid w:val="004204CE"/>
    <w:rsid w:val="00421C80"/>
    <w:rsid w:val="00422D40"/>
    <w:rsid w:val="00422D89"/>
    <w:rsid w:val="00424C93"/>
    <w:rsid w:val="00427972"/>
    <w:rsid w:val="00431297"/>
    <w:rsid w:val="004316C9"/>
    <w:rsid w:val="00432B53"/>
    <w:rsid w:val="004334E1"/>
    <w:rsid w:val="00433F04"/>
    <w:rsid w:val="004346D3"/>
    <w:rsid w:val="00434892"/>
    <w:rsid w:val="0043675D"/>
    <w:rsid w:val="0044037E"/>
    <w:rsid w:val="0044230B"/>
    <w:rsid w:val="00443583"/>
    <w:rsid w:val="00443806"/>
    <w:rsid w:val="004461CE"/>
    <w:rsid w:val="0045244B"/>
    <w:rsid w:val="00452D54"/>
    <w:rsid w:val="00454CBA"/>
    <w:rsid w:val="00456231"/>
    <w:rsid w:val="0045638B"/>
    <w:rsid w:val="004568A5"/>
    <w:rsid w:val="00457095"/>
    <w:rsid w:val="00457136"/>
    <w:rsid w:val="0045751C"/>
    <w:rsid w:val="00461A21"/>
    <w:rsid w:val="00465A17"/>
    <w:rsid w:val="004668E6"/>
    <w:rsid w:val="0047313B"/>
    <w:rsid w:val="0047447F"/>
    <w:rsid w:val="00482A39"/>
    <w:rsid w:val="00483F8B"/>
    <w:rsid w:val="00484273"/>
    <w:rsid w:val="00486630"/>
    <w:rsid w:val="00486BED"/>
    <w:rsid w:val="00487B14"/>
    <w:rsid w:val="0049008E"/>
    <w:rsid w:val="004901D7"/>
    <w:rsid w:val="00490F1E"/>
    <w:rsid w:val="0049210F"/>
    <w:rsid w:val="00492AF2"/>
    <w:rsid w:val="004943B3"/>
    <w:rsid w:val="00495F25"/>
    <w:rsid w:val="004A04D4"/>
    <w:rsid w:val="004A21C0"/>
    <w:rsid w:val="004A54A5"/>
    <w:rsid w:val="004A5EDD"/>
    <w:rsid w:val="004A6110"/>
    <w:rsid w:val="004A6B7F"/>
    <w:rsid w:val="004A7327"/>
    <w:rsid w:val="004A7EF5"/>
    <w:rsid w:val="004A7F5A"/>
    <w:rsid w:val="004B0350"/>
    <w:rsid w:val="004B072D"/>
    <w:rsid w:val="004B11DC"/>
    <w:rsid w:val="004B2B03"/>
    <w:rsid w:val="004B5000"/>
    <w:rsid w:val="004B5180"/>
    <w:rsid w:val="004B5749"/>
    <w:rsid w:val="004B60E4"/>
    <w:rsid w:val="004C0CAC"/>
    <w:rsid w:val="004C158B"/>
    <w:rsid w:val="004C3D4F"/>
    <w:rsid w:val="004C463A"/>
    <w:rsid w:val="004D05F2"/>
    <w:rsid w:val="004D2D02"/>
    <w:rsid w:val="004D3607"/>
    <w:rsid w:val="004D4750"/>
    <w:rsid w:val="004D503D"/>
    <w:rsid w:val="004D5B9A"/>
    <w:rsid w:val="004E01F0"/>
    <w:rsid w:val="004E1408"/>
    <w:rsid w:val="004E1615"/>
    <w:rsid w:val="004E2888"/>
    <w:rsid w:val="004E34EE"/>
    <w:rsid w:val="004E4359"/>
    <w:rsid w:val="004F0017"/>
    <w:rsid w:val="004F0094"/>
    <w:rsid w:val="004F1D85"/>
    <w:rsid w:val="004F2148"/>
    <w:rsid w:val="004F216A"/>
    <w:rsid w:val="004F53C1"/>
    <w:rsid w:val="004F6055"/>
    <w:rsid w:val="004F60DE"/>
    <w:rsid w:val="004F718E"/>
    <w:rsid w:val="004F74EC"/>
    <w:rsid w:val="004F75DF"/>
    <w:rsid w:val="004F77D5"/>
    <w:rsid w:val="005007FE"/>
    <w:rsid w:val="00502205"/>
    <w:rsid w:val="00503757"/>
    <w:rsid w:val="00510888"/>
    <w:rsid w:val="005141A9"/>
    <w:rsid w:val="00514655"/>
    <w:rsid w:val="00514E13"/>
    <w:rsid w:val="00514FDF"/>
    <w:rsid w:val="00515B41"/>
    <w:rsid w:val="0051675A"/>
    <w:rsid w:val="00516BCA"/>
    <w:rsid w:val="00517516"/>
    <w:rsid w:val="0051784E"/>
    <w:rsid w:val="005179F5"/>
    <w:rsid w:val="00517E97"/>
    <w:rsid w:val="005203CA"/>
    <w:rsid w:val="0052278F"/>
    <w:rsid w:val="005228A4"/>
    <w:rsid w:val="00523210"/>
    <w:rsid w:val="00524C96"/>
    <w:rsid w:val="00524E3E"/>
    <w:rsid w:val="00527370"/>
    <w:rsid w:val="0053115A"/>
    <w:rsid w:val="00532B0D"/>
    <w:rsid w:val="00534069"/>
    <w:rsid w:val="00536799"/>
    <w:rsid w:val="005407BF"/>
    <w:rsid w:val="00541CBA"/>
    <w:rsid w:val="00542A45"/>
    <w:rsid w:val="0054394A"/>
    <w:rsid w:val="005443C0"/>
    <w:rsid w:val="00544C33"/>
    <w:rsid w:val="00546852"/>
    <w:rsid w:val="00552CAC"/>
    <w:rsid w:val="00553863"/>
    <w:rsid w:val="00553CDF"/>
    <w:rsid w:val="00555203"/>
    <w:rsid w:val="005561C6"/>
    <w:rsid w:val="00556DC3"/>
    <w:rsid w:val="00561E0A"/>
    <w:rsid w:val="005640D5"/>
    <w:rsid w:val="00564B37"/>
    <w:rsid w:val="0056728E"/>
    <w:rsid w:val="00567623"/>
    <w:rsid w:val="00567F6F"/>
    <w:rsid w:val="0057126A"/>
    <w:rsid w:val="0057326B"/>
    <w:rsid w:val="005741AA"/>
    <w:rsid w:val="00574AA7"/>
    <w:rsid w:val="005753CE"/>
    <w:rsid w:val="005767DA"/>
    <w:rsid w:val="00576F42"/>
    <w:rsid w:val="00577865"/>
    <w:rsid w:val="00577909"/>
    <w:rsid w:val="00581726"/>
    <w:rsid w:val="00582AE4"/>
    <w:rsid w:val="00583008"/>
    <w:rsid w:val="005834A9"/>
    <w:rsid w:val="00583819"/>
    <w:rsid w:val="0058531D"/>
    <w:rsid w:val="00585742"/>
    <w:rsid w:val="00585AF3"/>
    <w:rsid w:val="005861AC"/>
    <w:rsid w:val="00587583"/>
    <w:rsid w:val="005900F9"/>
    <w:rsid w:val="00591DD2"/>
    <w:rsid w:val="0059209E"/>
    <w:rsid w:val="005921B8"/>
    <w:rsid w:val="00593FD4"/>
    <w:rsid w:val="005968E3"/>
    <w:rsid w:val="005A068B"/>
    <w:rsid w:val="005A0BDB"/>
    <w:rsid w:val="005A1D52"/>
    <w:rsid w:val="005A27C1"/>
    <w:rsid w:val="005A319E"/>
    <w:rsid w:val="005A3A65"/>
    <w:rsid w:val="005A405A"/>
    <w:rsid w:val="005A4D82"/>
    <w:rsid w:val="005A4F25"/>
    <w:rsid w:val="005A5710"/>
    <w:rsid w:val="005A58FB"/>
    <w:rsid w:val="005B1180"/>
    <w:rsid w:val="005B3466"/>
    <w:rsid w:val="005B3AC8"/>
    <w:rsid w:val="005B4617"/>
    <w:rsid w:val="005B4793"/>
    <w:rsid w:val="005B66FF"/>
    <w:rsid w:val="005C1577"/>
    <w:rsid w:val="005C307F"/>
    <w:rsid w:val="005C3375"/>
    <w:rsid w:val="005C64C2"/>
    <w:rsid w:val="005C74E0"/>
    <w:rsid w:val="005D0FF9"/>
    <w:rsid w:val="005D1D83"/>
    <w:rsid w:val="005D5496"/>
    <w:rsid w:val="005D6E34"/>
    <w:rsid w:val="005E1DB0"/>
    <w:rsid w:val="005E20AD"/>
    <w:rsid w:val="005E2CFB"/>
    <w:rsid w:val="005E382C"/>
    <w:rsid w:val="005E38B8"/>
    <w:rsid w:val="005E3EA0"/>
    <w:rsid w:val="005E4761"/>
    <w:rsid w:val="005E6293"/>
    <w:rsid w:val="005E6932"/>
    <w:rsid w:val="005E7396"/>
    <w:rsid w:val="005F0784"/>
    <w:rsid w:val="005F0BDA"/>
    <w:rsid w:val="005F0EDC"/>
    <w:rsid w:val="005F1227"/>
    <w:rsid w:val="005F24AE"/>
    <w:rsid w:val="005F5090"/>
    <w:rsid w:val="005F5C31"/>
    <w:rsid w:val="005F724B"/>
    <w:rsid w:val="005F735B"/>
    <w:rsid w:val="006019EA"/>
    <w:rsid w:val="00602BB4"/>
    <w:rsid w:val="00604A43"/>
    <w:rsid w:val="0060620F"/>
    <w:rsid w:val="00611F2D"/>
    <w:rsid w:val="0061201E"/>
    <w:rsid w:val="00612E90"/>
    <w:rsid w:val="006135A9"/>
    <w:rsid w:val="0061403E"/>
    <w:rsid w:val="00616156"/>
    <w:rsid w:val="0061747B"/>
    <w:rsid w:val="0061749A"/>
    <w:rsid w:val="0062095C"/>
    <w:rsid w:val="006223F8"/>
    <w:rsid w:val="006241F5"/>
    <w:rsid w:val="00624B58"/>
    <w:rsid w:val="00626CFF"/>
    <w:rsid w:val="00627CB5"/>
    <w:rsid w:val="00632EEC"/>
    <w:rsid w:val="00635F15"/>
    <w:rsid w:val="006375F2"/>
    <w:rsid w:val="0063783A"/>
    <w:rsid w:val="006379DB"/>
    <w:rsid w:val="006404EC"/>
    <w:rsid w:val="00641932"/>
    <w:rsid w:val="00644C66"/>
    <w:rsid w:val="00645DB5"/>
    <w:rsid w:val="0065002A"/>
    <w:rsid w:val="00650F2D"/>
    <w:rsid w:val="0065330A"/>
    <w:rsid w:val="00653E16"/>
    <w:rsid w:val="006558B0"/>
    <w:rsid w:val="00657916"/>
    <w:rsid w:val="00657B2F"/>
    <w:rsid w:val="006613BF"/>
    <w:rsid w:val="00663F35"/>
    <w:rsid w:val="0066457E"/>
    <w:rsid w:val="00666959"/>
    <w:rsid w:val="006752F4"/>
    <w:rsid w:val="006764FD"/>
    <w:rsid w:val="006768F2"/>
    <w:rsid w:val="00676E06"/>
    <w:rsid w:val="00680D39"/>
    <w:rsid w:val="0068103F"/>
    <w:rsid w:val="0068188E"/>
    <w:rsid w:val="00682562"/>
    <w:rsid w:val="006826C6"/>
    <w:rsid w:val="0068645D"/>
    <w:rsid w:val="00690243"/>
    <w:rsid w:val="00692620"/>
    <w:rsid w:val="0069464C"/>
    <w:rsid w:val="006948D2"/>
    <w:rsid w:val="006951F5"/>
    <w:rsid w:val="006952B7"/>
    <w:rsid w:val="0069646E"/>
    <w:rsid w:val="006A0C87"/>
    <w:rsid w:val="006A123D"/>
    <w:rsid w:val="006A363E"/>
    <w:rsid w:val="006A3E7D"/>
    <w:rsid w:val="006A3F62"/>
    <w:rsid w:val="006A6572"/>
    <w:rsid w:val="006A6DA9"/>
    <w:rsid w:val="006B02E3"/>
    <w:rsid w:val="006B0A40"/>
    <w:rsid w:val="006B0E64"/>
    <w:rsid w:val="006B5C9E"/>
    <w:rsid w:val="006B7215"/>
    <w:rsid w:val="006C0011"/>
    <w:rsid w:val="006C1D8F"/>
    <w:rsid w:val="006C2377"/>
    <w:rsid w:val="006C5CC8"/>
    <w:rsid w:val="006D0747"/>
    <w:rsid w:val="006D10AF"/>
    <w:rsid w:val="006D131B"/>
    <w:rsid w:val="006D18F5"/>
    <w:rsid w:val="006D2B21"/>
    <w:rsid w:val="006D345A"/>
    <w:rsid w:val="006D4CA8"/>
    <w:rsid w:val="006D52AC"/>
    <w:rsid w:val="006D5D31"/>
    <w:rsid w:val="006D7BC8"/>
    <w:rsid w:val="006E32FF"/>
    <w:rsid w:val="006E33EC"/>
    <w:rsid w:val="006E396B"/>
    <w:rsid w:val="006E44CB"/>
    <w:rsid w:val="006E50EF"/>
    <w:rsid w:val="006E59C4"/>
    <w:rsid w:val="006E7F1C"/>
    <w:rsid w:val="006F08E0"/>
    <w:rsid w:val="006F12F4"/>
    <w:rsid w:val="006F2F7D"/>
    <w:rsid w:val="006F69C9"/>
    <w:rsid w:val="007022E5"/>
    <w:rsid w:val="00702D8C"/>
    <w:rsid w:val="007047E6"/>
    <w:rsid w:val="00705483"/>
    <w:rsid w:val="007068B7"/>
    <w:rsid w:val="00706E30"/>
    <w:rsid w:val="0071197A"/>
    <w:rsid w:val="007129B6"/>
    <w:rsid w:val="00712CD0"/>
    <w:rsid w:val="00713D33"/>
    <w:rsid w:val="00714669"/>
    <w:rsid w:val="0071517E"/>
    <w:rsid w:val="0071540D"/>
    <w:rsid w:val="00715BE0"/>
    <w:rsid w:val="0071734D"/>
    <w:rsid w:val="00717402"/>
    <w:rsid w:val="007212B4"/>
    <w:rsid w:val="00721890"/>
    <w:rsid w:val="00721D27"/>
    <w:rsid w:val="00723A29"/>
    <w:rsid w:val="00725150"/>
    <w:rsid w:val="00725928"/>
    <w:rsid w:val="0072640C"/>
    <w:rsid w:val="00727644"/>
    <w:rsid w:val="00727687"/>
    <w:rsid w:val="007321EE"/>
    <w:rsid w:val="0073430F"/>
    <w:rsid w:val="007365D7"/>
    <w:rsid w:val="00737058"/>
    <w:rsid w:val="00737BC0"/>
    <w:rsid w:val="00744F5A"/>
    <w:rsid w:val="0075431F"/>
    <w:rsid w:val="007549AE"/>
    <w:rsid w:val="00755085"/>
    <w:rsid w:val="007554FA"/>
    <w:rsid w:val="00755939"/>
    <w:rsid w:val="00756691"/>
    <w:rsid w:val="0075769C"/>
    <w:rsid w:val="007608C4"/>
    <w:rsid w:val="00760900"/>
    <w:rsid w:val="007610D4"/>
    <w:rsid w:val="00761433"/>
    <w:rsid w:val="00763146"/>
    <w:rsid w:val="00765D7B"/>
    <w:rsid w:val="0077108E"/>
    <w:rsid w:val="007710D0"/>
    <w:rsid w:val="0077110B"/>
    <w:rsid w:val="00771B83"/>
    <w:rsid w:val="0077252A"/>
    <w:rsid w:val="00775962"/>
    <w:rsid w:val="0078175C"/>
    <w:rsid w:val="0078480B"/>
    <w:rsid w:val="00784DDB"/>
    <w:rsid w:val="007855D6"/>
    <w:rsid w:val="00785BBB"/>
    <w:rsid w:val="00787719"/>
    <w:rsid w:val="00790380"/>
    <w:rsid w:val="00790A40"/>
    <w:rsid w:val="00791E97"/>
    <w:rsid w:val="007943E3"/>
    <w:rsid w:val="007952E1"/>
    <w:rsid w:val="00795521"/>
    <w:rsid w:val="00795B65"/>
    <w:rsid w:val="007962C5"/>
    <w:rsid w:val="00796B6C"/>
    <w:rsid w:val="007A1CAB"/>
    <w:rsid w:val="007A52B4"/>
    <w:rsid w:val="007A5D01"/>
    <w:rsid w:val="007A656B"/>
    <w:rsid w:val="007A7154"/>
    <w:rsid w:val="007B03EE"/>
    <w:rsid w:val="007B1FD7"/>
    <w:rsid w:val="007B2470"/>
    <w:rsid w:val="007B4497"/>
    <w:rsid w:val="007B580B"/>
    <w:rsid w:val="007B59BC"/>
    <w:rsid w:val="007B7B51"/>
    <w:rsid w:val="007C0D36"/>
    <w:rsid w:val="007C1A91"/>
    <w:rsid w:val="007C2448"/>
    <w:rsid w:val="007C3007"/>
    <w:rsid w:val="007C30D3"/>
    <w:rsid w:val="007C348F"/>
    <w:rsid w:val="007C48FA"/>
    <w:rsid w:val="007C4A53"/>
    <w:rsid w:val="007C564D"/>
    <w:rsid w:val="007C5A65"/>
    <w:rsid w:val="007C66A0"/>
    <w:rsid w:val="007D1248"/>
    <w:rsid w:val="007D21FA"/>
    <w:rsid w:val="007D3B90"/>
    <w:rsid w:val="007D3D05"/>
    <w:rsid w:val="007D5B42"/>
    <w:rsid w:val="007E025C"/>
    <w:rsid w:val="007E2D74"/>
    <w:rsid w:val="007E3B3D"/>
    <w:rsid w:val="007E5EF8"/>
    <w:rsid w:val="007E7C02"/>
    <w:rsid w:val="007E7FDA"/>
    <w:rsid w:val="007F2EF5"/>
    <w:rsid w:val="007F34CA"/>
    <w:rsid w:val="007F6C85"/>
    <w:rsid w:val="007F7B6E"/>
    <w:rsid w:val="00800DE6"/>
    <w:rsid w:val="00801B55"/>
    <w:rsid w:val="00803919"/>
    <w:rsid w:val="00805285"/>
    <w:rsid w:val="008076F9"/>
    <w:rsid w:val="00810B15"/>
    <w:rsid w:val="008149B3"/>
    <w:rsid w:val="00817AED"/>
    <w:rsid w:val="00817B04"/>
    <w:rsid w:val="00821037"/>
    <w:rsid w:val="00821044"/>
    <w:rsid w:val="00822600"/>
    <w:rsid w:val="00823158"/>
    <w:rsid w:val="008231CC"/>
    <w:rsid w:val="008232D3"/>
    <w:rsid w:val="00823AD3"/>
    <w:rsid w:val="0083016E"/>
    <w:rsid w:val="008312D0"/>
    <w:rsid w:val="00833F24"/>
    <w:rsid w:val="00834CB7"/>
    <w:rsid w:val="00840D3D"/>
    <w:rsid w:val="00841399"/>
    <w:rsid w:val="00841515"/>
    <w:rsid w:val="008442A0"/>
    <w:rsid w:val="0084468D"/>
    <w:rsid w:val="0084690F"/>
    <w:rsid w:val="008469A0"/>
    <w:rsid w:val="008516DD"/>
    <w:rsid w:val="00852B28"/>
    <w:rsid w:val="00854198"/>
    <w:rsid w:val="00854B0C"/>
    <w:rsid w:val="00854BD3"/>
    <w:rsid w:val="00854C2D"/>
    <w:rsid w:val="00857F86"/>
    <w:rsid w:val="0086203F"/>
    <w:rsid w:val="00863208"/>
    <w:rsid w:val="00864B7C"/>
    <w:rsid w:val="00864E17"/>
    <w:rsid w:val="00865B0F"/>
    <w:rsid w:val="00867EF8"/>
    <w:rsid w:val="0087227D"/>
    <w:rsid w:val="00873F0D"/>
    <w:rsid w:val="00875C08"/>
    <w:rsid w:val="00877880"/>
    <w:rsid w:val="008813BA"/>
    <w:rsid w:val="00881796"/>
    <w:rsid w:val="0088211B"/>
    <w:rsid w:val="00883D94"/>
    <w:rsid w:val="0088689F"/>
    <w:rsid w:val="00887706"/>
    <w:rsid w:val="00890AA8"/>
    <w:rsid w:val="00893686"/>
    <w:rsid w:val="00893D4F"/>
    <w:rsid w:val="00894982"/>
    <w:rsid w:val="00895770"/>
    <w:rsid w:val="00897A39"/>
    <w:rsid w:val="008A0326"/>
    <w:rsid w:val="008A1B1E"/>
    <w:rsid w:val="008A1DC2"/>
    <w:rsid w:val="008A2182"/>
    <w:rsid w:val="008A3056"/>
    <w:rsid w:val="008A40BF"/>
    <w:rsid w:val="008B00BA"/>
    <w:rsid w:val="008B0203"/>
    <w:rsid w:val="008B381E"/>
    <w:rsid w:val="008B4648"/>
    <w:rsid w:val="008B6897"/>
    <w:rsid w:val="008C10D2"/>
    <w:rsid w:val="008C152B"/>
    <w:rsid w:val="008C163F"/>
    <w:rsid w:val="008C1AFC"/>
    <w:rsid w:val="008C1F01"/>
    <w:rsid w:val="008C235B"/>
    <w:rsid w:val="008C29C8"/>
    <w:rsid w:val="008C5457"/>
    <w:rsid w:val="008C67C4"/>
    <w:rsid w:val="008C6F46"/>
    <w:rsid w:val="008C7C00"/>
    <w:rsid w:val="008D16F3"/>
    <w:rsid w:val="008D2100"/>
    <w:rsid w:val="008D464F"/>
    <w:rsid w:val="008D67A2"/>
    <w:rsid w:val="008D7841"/>
    <w:rsid w:val="008E007E"/>
    <w:rsid w:val="008E26C8"/>
    <w:rsid w:val="008E300B"/>
    <w:rsid w:val="008E7646"/>
    <w:rsid w:val="008F01B2"/>
    <w:rsid w:val="008F055F"/>
    <w:rsid w:val="008F113F"/>
    <w:rsid w:val="008F1906"/>
    <w:rsid w:val="008F1B35"/>
    <w:rsid w:val="008F229F"/>
    <w:rsid w:val="008F2F48"/>
    <w:rsid w:val="008F4B11"/>
    <w:rsid w:val="008F5631"/>
    <w:rsid w:val="008F76EC"/>
    <w:rsid w:val="0090471B"/>
    <w:rsid w:val="00905143"/>
    <w:rsid w:val="00905A71"/>
    <w:rsid w:val="00907A01"/>
    <w:rsid w:val="009142F9"/>
    <w:rsid w:val="00915647"/>
    <w:rsid w:val="009202E4"/>
    <w:rsid w:val="00920FE1"/>
    <w:rsid w:val="00922EAE"/>
    <w:rsid w:val="00922FF7"/>
    <w:rsid w:val="00924CE9"/>
    <w:rsid w:val="00925089"/>
    <w:rsid w:val="0092511B"/>
    <w:rsid w:val="0092631D"/>
    <w:rsid w:val="00930D22"/>
    <w:rsid w:val="00931544"/>
    <w:rsid w:val="00933D20"/>
    <w:rsid w:val="00935B05"/>
    <w:rsid w:val="00936367"/>
    <w:rsid w:val="00937053"/>
    <w:rsid w:val="009371B4"/>
    <w:rsid w:val="00937F0F"/>
    <w:rsid w:val="009416C8"/>
    <w:rsid w:val="00943EE7"/>
    <w:rsid w:val="00944B23"/>
    <w:rsid w:val="00946A21"/>
    <w:rsid w:val="00947A7F"/>
    <w:rsid w:val="009509D5"/>
    <w:rsid w:val="00951AD9"/>
    <w:rsid w:val="0095239D"/>
    <w:rsid w:val="0095271B"/>
    <w:rsid w:val="00952FCE"/>
    <w:rsid w:val="00953B3F"/>
    <w:rsid w:val="00956866"/>
    <w:rsid w:val="009568D6"/>
    <w:rsid w:val="009574B9"/>
    <w:rsid w:val="00957579"/>
    <w:rsid w:val="00957B13"/>
    <w:rsid w:val="00957CEA"/>
    <w:rsid w:val="00960D02"/>
    <w:rsid w:val="0096282B"/>
    <w:rsid w:val="00964EEA"/>
    <w:rsid w:val="00965BE8"/>
    <w:rsid w:val="00965C3B"/>
    <w:rsid w:val="00966471"/>
    <w:rsid w:val="00966B9A"/>
    <w:rsid w:val="00967888"/>
    <w:rsid w:val="009712A6"/>
    <w:rsid w:val="00971F1F"/>
    <w:rsid w:val="00972BE3"/>
    <w:rsid w:val="00973DFB"/>
    <w:rsid w:val="009746F7"/>
    <w:rsid w:val="00975413"/>
    <w:rsid w:val="009857AA"/>
    <w:rsid w:val="00986E64"/>
    <w:rsid w:val="009873B3"/>
    <w:rsid w:val="00987F23"/>
    <w:rsid w:val="00991AA1"/>
    <w:rsid w:val="00994605"/>
    <w:rsid w:val="00997B66"/>
    <w:rsid w:val="009A1F4F"/>
    <w:rsid w:val="009A25B4"/>
    <w:rsid w:val="009A2F09"/>
    <w:rsid w:val="009A2FA9"/>
    <w:rsid w:val="009A3418"/>
    <w:rsid w:val="009A380C"/>
    <w:rsid w:val="009A5A42"/>
    <w:rsid w:val="009A66EE"/>
    <w:rsid w:val="009A69F5"/>
    <w:rsid w:val="009B18E4"/>
    <w:rsid w:val="009B2C8E"/>
    <w:rsid w:val="009B308A"/>
    <w:rsid w:val="009B312C"/>
    <w:rsid w:val="009B49C2"/>
    <w:rsid w:val="009B4F8C"/>
    <w:rsid w:val="009B5CF6"/>
    <w:rsid w:val="009B619D"/>
    <w:rsid w:val="009B6248"/>
    <w:rsid w:val="009B6319"/>
    <w:rsid w:val="009B6D30"/>
    <w:rsid w:val="009B7059"/>
    <w:rsid w:val="009B7F27"/>
    <w:rsid w:val="009C1150"/>
    <w:rsid w:val="009C187C"/>
    <w:rsid w:val="009C506A"/>
    <w:rsid w:val="009C61E2"/>
    <w:rsid w:val="009D1D61"/>
    <w:rsid w:val="009D1EE5"/>
    <w:rsid w:val="009D564B"/>
    <w:rsid w:val="009D58A2"/>
    <w:rsid w:val="009D5A67"/>
    <w:rsid w:val="009E0234"/>
    <w:rsid w:val="009E1CEF"/>
    <w:rsid w:val="009E2C8D"/>
    <w:rsid w:val="009E2F8F"/>
    <w:rsid w:val="009E2FD9"/>
    <w:rsid w:val="009E45DB"/>
    <w:rsid w:val="009E51D8"/>
    <w:rsid w:val="009E5BB4"/>
    <w:rsid w:val="009E6058"/>
    <w:rsid w:val="009E775C"/>
    <w:rsid w:val="009E7C8D"/>
    <w:rsid w:val="009F2E97"/>
    <w:rsid w:val="009F3BE7"/>
    <w:rsid w:val="009F58DB"/>
    <w:rsid w:val="009F602F"/>
    <w:rsid w:val="009F6FDF"/>
    <w:rsid w:val="009F73C7"/>
    <w:rsid w:val="009F7543"/>
    <w:rsid w:val="009F7BB6"/>
    <w:rsid w:val="00A0456C"/>
    <w:rsid w:val="00A078D2"/>
    <w:rsid w:val="00A10547"/>
    <w:rsid w:val="00A160B2"/>
    <w:rsid w:val="00A167D9"/>
    <w:rsid w:val="00A173E4"/>
    <w:rsid w:val="00A20398"/>
    <w:rsid w:val="00A20909"/>
    <w:rsid w:val="00A20D95"/>
    <w:rsid w:val="00A222D1"/>
    <w:rsid w:val="00A2294E"/>
    <w:rsid w:val="00A233B3"/>
    <w:rsid w:val="00A23BB1"/>
    <w:rsid w:val="00A30F0E"/>
    <w:rsid w:val="00A31077"/>
    <w:rsid w:val="00A31475"/>
    <w:rsid w:val="00A33CD3"/>
    <w:rsid w:val="00A3413A"/>
    <w:rsid w:val="00A34826"/>
    <w:rsid w:val="00A3674C"/>
    <w:rsid w:val="00A376C4"/>
    <w:rsid w:val="00A37DE0"/>
    <w:rsid w:val="00A4215B"/>
    <w:rsid w:val="00A42FD6"/>
    <w:rsid w:val="00A46054"/>
    <w:rsid w:val="00A4793F"/>
    <w:rsid w:val="00A52896"/>
    <w:rsid w:val="00A5325A"/>
    <w:rsid w:val="00A54042"/>
    <w:rsid w:val="00A5535C"/>
    <w:rsid w:val="00A56D97"/>
    <w:rsid w:val="00A60439"/>
    <w:rsid w:val="00A619ED"/>
    <w:rsid w:val="00A62764"/>
    <w:rsid w:val="00A666AD"/>
    <w:rsid w:val="00A711EB"/>
    <w:rsid w:val="00A7578C"/>
    <w:rsid w:val="00A76178"/>
    <w:rsid w:val="00A773AD"/>
    <w:rsid w:val="00A80777"/>
    <w:rsid w:val="00A82125"/>
    <w:rsid w:val="00A82FB6"/>
    <w:rsid w:val="00A83BDB"/>
    <w:rsid w:val="00A85B51"/>
    <w:rsid w:val="00A86330"/>
    <w:rsid w:val="00A91455"/>
    <w:rsid w:val="00A91FE5"/>
    <w:rsid w:val="00A92B72"/>
    <w:rsid w:val="00A92CC1"/>
    <w:rsid w:val="00A93758"/>
    <w:rsid w:val="00A9436C"/>
    <w:rsid w:val="00A95685"/>
    <w:rsid w:val="00A97780"/>
    <w:rsid w:val="00AA3012"/>
    <w:rsid w:val="00AA424B"/>
    <w:rsid w:val="00AA6A75"/>
    <w:rsid w:val="00AB006B"/>
    <w:rsid w:val="00AB1460"/>
    <w:rsid w:val="00AB2CD4"/>
    <w:rsid w:val="00AB37E5"/>
    <w:rsid w:val="00AB45CE"/>
    <w:rsid w:val="00AB5311"/>
    <w:rsid w:val="00AB573B"/>
    <w:rsid w:val="00AC243B"/>
    <w:rsid w:val="00AC33BA"/>
    <w:rsid w:val="00AC4079"/>
    <w:rsid w:val="00AC645F"/>
    <w:rsid w:val="00AC6DC6"/>
    <w:rsid w:val="00AC7884"/>
    <w:rsid w:val="00AD12CB"/>
    <w:rsid w:val="00AD33A2"/>
    <w:rsid w:val="00AD431C"/>
    <w:rsid w:val="00AD451B"/>
    <w:rsid w:val="00AD51BA"/>
    <w:rsid w:val="00AD58B9"/>
    <w:rsid w:val="00AD6DC3"/>
    <w:rsid w:val="00AD7AD4"/>
    <w:rsid w:val="00AE0BA0"/>
    <w:rsid w:val="00AE13FF"/>
    <w:rsid w:val="00AE1492"/>
    <w:rsid w:val="00AE3187"/>
    <w:rsid w:val="00AE4E0E"/>
    <w:rsid w:val="00AF3FE0"/>
    <w:rsid w:val="00AF4F9B"/>
    <w:rsid w:val="00AF4FE3"/>
    <w:rsid w:val="00AF565E"/>
    <w:rsid w:val="00AF5F38"/>
    <w:rsid w:val="00AF6194"/>
    <w:rsid w:val="00AF7146"/>
    <w:rsid w:val="00B00414"/>
    <w:rsid w:val="00B012FE"/>
    <w:rsid w:val="00B016BC"/>
    <w:rsid w:val="00B0209A"/>
    <w:rsid w:val="00B02346"/>
    <w:rsid w:val="00B02BF0"/>
    <w:rsid w:val="00B030B3"/>
    <w:rsid w:val="00B031D0"/>
    <w:rsid w:val="00B07B60"/>
    <w:rsid w:val="00B1074F"/>
    <w:rsid w:val="00B1076F"/>
    <w:rsid w:val="00B10DB2"/>
    <w:rsid w:val="00B121FA"/>
    <w:rsid w:val="00B1229C"/>
    <w:rsid w:val="00B12C52"/>
    <w:rsid w:val="00B13B89"/>
    <w:rsid w:val="00B1425B"/>
    <w:rsid w:val="00B15A2C"/>
    <w:rsid w:val="00B22FB4"/>
    <w:rsid w:val="00B234FD"/>
    <w:rsid w:val="00B24039"/>
    <w:rsid w:val="00B26423"/>
    <w:rsid w:val="00B27F91"/>
    <w:rsid w:val="00B31E96"/>
    <w:rsid w:val="00B32E90"/>
    <w:rsid w:val="00B35045"/>
    <w:rsid w:val="00B356EC"/>
    <w:rsid w:val="00B4007C"/>
    <w:rsid w:val="00B4064D"/>
    <w:rsid w:val="00B4519D"/>
    <w:rsid w:val="00B45C6E"/>
    <w:rsid w:val="00B460EF"/>
    <w:rsid w:val="00B47063"/>
    <w:rsid w:val="00B504B3"/>
    <w:rsid w:val="00B56C8C"/>
    <w:rsid w:val="00B56D66"/>
    <w:rsid w:val="00B5753B"/>
    <w:rsid w:val="00B605E3"/>
    <w:rsid w:val="00B621A5"/>
    <w:rsid w:val="00B62881"/>
    <w:rsid w:val="00B62CA2"/>
    <w:rsid w:val="00B62EC7"/>
    <w:rsid w:val="00B638A3"/>
    <w:rsid w:val="00B65170"/>
    <w:rsid w:val="00B6716C"/>
    <w:rsid w:val="00B677AE"/>
    <w:rsid w:val="00B678D1"/>
    <w:rsid w:val="00B67DD5"/>
    <w:rsid w:val="00B71264"/>
    <w:rsid w:val="00B724C3"/>
    <w:rsid w:val="00B72A05"/>
    <w:rsid w:val="00B72C5D"/>
    <w:rsid w:val="00B74428"/>
    <w:rsid w:val="00B75522"/>
    <w:rsid w:val="00B762D2"/>
    <w:rsid w:val="00B77252"/>
    <w:rsid w:val="00B80A35"/>
    <w:rsid w:val="00B810C3"/>
    <w:rsid w:val="00B816EF"/>
    <w:rsid w:val="00B8283F"/>
    <w:rsid w:val="00B83B60"/>
    <w:rsid w:val="00B86F1C"/>
    <w:rsid w:val="00B91180"/>
    <w:rsid w:val="00B92898"/>
    <w:rsid w:val="00B93943"/>
    <w:rsid w:val="00B943D6"/>
    <w:rsid w:val="00B95FA3"/>
    <w:rsid w:val="00B97A13"/>
    <w:rsid w:val="00B97CEB"/>
    <w:rsid w:val="00BA0179"/>
    <w:rsid w:val="00BA1858"/>
    <w:rsid w:val="00BA3728"/>
    <w:rsid w:val="00BA3CCA"/>
    <w:rsid w:val="00BA3E91"/>
    <w:rsid w:val="00BA68C5"/>
    <w:rsid w:val="00BB0A58"/>
    <w:rsid w:val="00BB0AEF"/>
    <w:rsid w:val="00BB113D"/>
    <w:rsid w:val="00BB3B6B"/>
    <w:rsid w:val="00BB3C62"/>
    <w:rsid w:val="00BB46F5"/>
    <w:rsid w:val="00BB5F4D"/>
    <w:rsid w:val="00BB671F"/>
    <w:rsid w:val="00BB7909"/>
    <w:rsid w:val="00BC01B8"/>
    <w:rsid w:val="00BC0416"/>
    <w:rsid w:val="00BC0956"/>
    <w:rsid w:val="00BC3509"/>
    <w:rsid w:val="00BD1D68"/>
    <w:rsid w:val="00BD3102"/>
    <w:rsid w:val="00BD32F2"/>
    <w:rsid w:val="00BD3D66"/>
    <w:rsid w:val="00BE2878"/>
    <w:rsid w:val="00BE28F7"/>
    <w:rsid w:val="00BE32EC"/>
    <w:rsid w:val="00BE40AD"/>
    <w:rsid w:val="00BE585A"/>
    <w:rsid w:val="00BE6CCC"/>
    <w:rsid w:val="00BE79BB"/>
    <w:rsid w:val="00BE7A4A"/>
    <w:rsid w:val="00BF25A0"/>
    <w:rsid w:val="00BF3353"/>
    <w:rsid w:val="00BF44FF"/>
    <w:rsid w:val="00BF4A2C"/>
    <w:rsid w:val="00BF5854"/>
    <w:rsid w:val="00C009D7"/>
    <w:rsid w:val="00C01088"/>
    <w:rsid w:val="00C015DC"/>
    <w:rsid w:val="00C01D85"/>
    <w:rsid w:val="00C04930"/>
    <w:rsid w:val="00C05294"/>
    <w:rsid w:val="00C13D67"/>
    <w:rsid w:val="00C14AC4"/>
    <w:rsid w:val="00C15EC8"/>
    <w:rsid w:val="00C16061"/>
    <w:rsid w:val="00C166E9"/>
    <w:rsid w:val="00C168B6"/>
    <w:rsid w:val="00C17860"/>
    <w:rsid w:val="00C17CBE"/>
    <w:rsid w:val="00C213A6"/>
    <w:rsid w:val="00C23AFC"/>
    <w:rsid w:val="00C25888"/>
    <w:rsid w:val="00C25B2E"/>
    <w:rsid w:val="00C268A4"/>
    <w:rsid w:val="00C26ACF"/>
    <w:rsid w:val="00C3034B"/>
    <w:rsid w:val="00C31778"/>
    <w:rsid w:val="00C3185E"/>
    <w:rsid w:val="00C32210"/>
    <w:rsid w:val="00C323B1"/>
    <w:rsid w:val="00C348E0"/>
    <w:rsid w:val="00C351AF"/>
    <w:rsid w:val="00C3525F"/>
    <w:rsid w:val="00C359F2"/>
    <w:rsid w:val="00C41663"/>
    <w:rsid w:val="00C417DD"/>
    <w:rsid w:val="00C45C49"/>
    <w:rsid w:val="00C45D49"/>
    <w:rsid w:val="00C46050"/>
    <w:rsid w:val="00C50559"/>
    <w:rsid w:val="00C524C7"/>
    <w:rsid w:val="00C531F4"/>
    <w:rsid w:val="00C54A0B"/>
    <w:rsid w:val="00C5534D"/>
    <w:rsid w:val="00C57353"/>
    <w:rsid w:val="00C57637"/>
    <w:rsid w:val="00C57B01"/>
    <w:rsid w:val="00C60797"/>
    <w:rsid w:val="00C61552"/>
    <w:rsid w:val="00C6266C"/>
    <w:rsid w:val="00C63BC9"/>
    <w:rsid w:val="00C64613"/>
    <w:rsid w:val="00C66FF9"/>
    <w:rsid w:val="00C7008F"/>
    <w:rsid w:val="00C71891"/>
    <w:rsid w:val="00C71B56"/>
    <w:rsid w:val="00C71C05"/>
    <w:rsid w:val="00C71F27"/>
    <w:rsid w:val="00C72259"/>
    <w:rsid w:val="00C735BF"/>
    <w:rsid w:val="00C76B87"/>
    <w:rsid w:val="00C77CA6"/>
    <w:rsid w:val="00C80C0D"/>
    <w:rsid w:val="00C80D37"/>
    <w:rsid w:val="00C81093"/>
    <w:rsid w:val="00C81979"/>
    <w:rsid w:val="00C8715D"/>
    <w:rsid w:val="00C87A1B"/>
    <w:rsid w:val="00C93381"/>
    <w:rsid w:val="00C95E49"/>
    <w:rsid w:val="00C97348"/>
    <w:rsid w:val="00C9792E"/>
    <w:rsid w:val="00CA2C52"/>
    <w:rsid w:val="00CA2CCE"/>
    <w:rsid w:val="00CA35F0"/>
    <w:rsid w:val="00CA4142"/>
    <w:rsid w:val="00CA576E"/>
    <w:rsid w:val="00CB0DCA"/>
    <w:rsid w:val="00CB1137"/>
    <w:rsid w:val="00CB12D2"/>
    <w:rsid w:val="00CB28E5"/>
    <w:rsid w:val="00CB2D6A"/>
    <w:rsid w:val="00CB365E"/>
    <w:rsid w:val="00CB4D0F"/>
    <w:rsid w:val="00CB6B05"/>
    <w:rsid w:val="00CB753E"/>
    <w:rsid w:val="00CB7569"/>
    <w:rsid w:val="00CB7F88"/>
    <w:rsid w:val="00CC2C70"/>
    <w:rsid w:val="00CC5D6E"/>
    <w:rsid w:val="00CC6734"/>
    <w:rsid w:val="00CC6E2C"/>
    <w:rsid w:val="00CC7168"/>
    <w:rsid w:val="00CD0AA3"/>
    <w:rsid w:val="00CD0AF7"/>
    <w:rsid w:val="00CD12CB"/>
    <w:rsid w:val="00CD3A4E"/>
    <w:rsid w:val="00CD6E84"/>
    <w:rsid w:val="00CD7686"/>
    <w:rsid w:val="00CE1216"/>
    <w:rsid w:val="00CE1E87"/>
    <w:rsid w:val="00CE1F71"/>
    <w:rsid w:val="00CE2468"/>
    <w:rsid w:val="00CE349B"/>
    <w:rsid w:val="00CE5683"/>
    <w:rsid w:val="00CF4B18"/>
    <w:rsid w:val="00CF6981"/>
    <w:rsid w:val="00CF721A"/>
    <w:rsid w:val="00D00B92"/>
    <w:rsid w:val="00D00F7C"/>
    <w:rsid w:val="00D02DD4"/>
    <w:rsid w:val="00D033AE"/>
    <w:rsid w:val="00D03779"/>
    <w:rsid w:val="00D044A1"/>
    <w:rsid w:val="00D05577"/>
    <w:rsid w:val="00D118F7"/>
    <w:rsid w:val="00D124CE"/>
    <w:rsid w:val="00D124FA"/>
    <w:rsid w:val="00D12C61"/>
    <w:rsid w:val="00D14B18"/>
    <w:rsid w:val="00D153F5"/>
    <w:rsid w:val="00D225C2"/>
    <w:rsid w:val="00D22CEE"/>
    <w:rsid w:val="00D24683"/>
    <w:rsid w:val="00D24E79"/>
    <w:rsid w:val="00D25695"/>
    <w:rsid w:val="00D30259"/>
    <w:rsid w:val="00D31F33"/>
    <w:rsid w:val="00D320B9"/>
    <w:rsid w:val="00D34EF8"/>
    <w:rsid w:val="00D35F19"/>
    <w:rsid w:val="00D37EDF"/>
    <w:rsid w:val="00D41BAE"/>
    <w:rsid w:val="00D42298"/>
    <w:rsid w:val="00D42D2F"/>
    <w:rsid w:val="00D43257"/>
    <w:rsid w:val="00D43344"/>
    <w:rsid w:val="00D43AFB"/>
    <w:rsid w:val="00D446B4"/>
    <w:rsid w:val="00D45D5C"/>
    <w:rsid w:val="00D4675D"/>
    <w:rsid w:val="00D51CDC"/>
    <w:rsid w:val="00D51D09"/>
    <w:rsid w:val="00D55903"/>
    <w:rsid w:val="00D5592F"/>
    <w:rsid w:val="00D61038"/>
    <w:rsid w:val="00D61072"/>
    <w:rsid w:val="00D6339E"/>
    <w:rsid w:val="00D636D0"/>
    <w:rsid w:val="00D67318"/>
    <w:rsid w:val="00D72568"/>
    <w:rsid w:val="00D73FFC"/>
    <w:rsid w:val="00D752DF"/>
    <w:rsid w:val="00D81260"/>
    <w:rsid w:val="00D814D0"/>
    <w:rsid w:val="00D83A6F"/>
    <w:rsid w:val="00D840E8"/>
    <w:rsid w:val="00D84B99"/>
    <w:rsid w:val="00D85064"/>
    <w:rsid w:val="00D85EB6"/>
    <w:rsid w:val="00D86695"/>
    <w:rsid w:val="00D87205"/>
    <w:rsid w:val="00D87688"/>
    <w:rsid w:val="00D9219C"/>
    <w:rsid w:val="00D92F1E"/>
    <w:rsid w:val="00D9380E"/>
    <w:rsid w:val="00D93F75"/>
    <w:rsid w:val="00D94A74"/>
    <w:rsid w:val="00D97FF1"/>
    <w:rsid w:val="00DA180A"/>
    <w:rsid w:val="00DA2658"/>
    <w:rsid w:val="00DA298A"/>
    <w:rsid w:val="00DA2DF3"/>
    <w:rsid w:val="00DA30CD"/>
    <w:rsid w:val="00DA3494"/>
    <w:rsid w:val="00DA34F2"/>
    <w:rsid w:val="00DA4F24"/>
    <w:rsid w:val="00DA66FE"/>
    <w:rsid w:val="00DA7DB3"/>
    <w:rsid w:val="00DA7F03"/>
    <w:rsid w:val="00DB0198"/>
    <w:rsid w:val="00DB1672"/>
    <w:rsid w:val="00DB5934"/>
    <w:rsid w:val="00DB6371"/>
    <w:rsid w:val="00DC1716"/>
    <w:rsid w:val="00DC55AC"/>
    <w:rsid w:val="00DC7C53"/>
    <w:rsid w:val="00DC7C9C"/>
    <w:rsid w:val="00DD1A6C"/>
    <w:rsid w:val="00DD38FE"/>
    <w:rsid w:val="00DD452B"/>
    <w:rsid w:val="00DD633D"/>
    <w:rsid w:val="00DD71EB"/>
    <w:rsid w:val="00DE3208"/>
    <w:rsid w:val="00DE3340"/>
    <w:rsid w:val="00DE3D38"/>
    <w:rsid w:val="00DE4B6C"/>
    <w:rsid w:val="00DE6BFA"/>
    <w:rsid w:val="00DE70BE"/>
    <w:rsid w:val="00DF0197"/>
    <w:rsid w:val="00DF1205"/>
    <w:rsid w:val="00DF2396"/>
    <w:rsid w:val="00DF34A3"/>
    <w:rsid w:val="00DF57C6"/>
    <w:rsid w:val="00DF5990"/>
    <w:rsid w:val="00DF78E2"/>
    <w:rsid w:val="00E00517"/>
    <w:rsid w:val="00E01D9A"/>
    <w:rsid w:val="00E024AA"/>
    <w:rsid w:val="00E03281"/>
    <w:rsid w:val="00E03F86"/>
    <w:rsid w:val="00E06F50"/>
    <w:rsid w:val="00E07B46"/>
    <w:rsid w:val="00E1117C"/>
    <w:rsid w:val="00E117A4"/>
    <w:rsid w:val="00E12CC4"/>
    <w:rsid w:val="00E12D4E"/>
    <w:rsid w:val="00E14768"/>
    <w:rsid w:val="00E17004"/>
    <w:rsid w:val="00E237BE"/>
    <w:rsid w:val="00E23B91"/>
    <w:rsid w:val="00E2401C"/>
    <w:rsid w:val="00E265B5"/>
    <w:rsid w:val="00E267AF"/>
    <w:rsid w:val="00E26E17"/>
    <w:rsid w:val="00E26FBA"/>
    <w:rsid w:val="00E3027C"/>
    <w:rsid w:val="00E306A3"/>
    <w:rsid w:val="00E30968"/>
    <w:rsid w:val="00E30C6E"/>
    <w:rsid w:val="00E35EE0"/>
    <w:rsid w:val="00E36B2A"/>
    <w:rsid w:val="00E375A9"/>
    <w:rsid w:val="00E41FB0"/>
    <w:rsid w:val="00E45192"/>
    <w:rsid w:val="00E47274"/>
    <w:rsid w:val="00E47B19"/>
    <w:rsid w:val="00E47B80"/>
    <w:rsid w:val="00E54E35"/>
    <w:rsid w:val="00E603D2"/>
    <w:rsid w:val="00E60967"/>
    <w:rsid w:val="00E6150C"/>
    <w:rsid w:val="00E62B70"/>
    <w:rsid w:val="00E6339A"/>
    <w:rsid w:val="00E6356E"/>
    <w:rsid w:val="00E66B2B"/>
    <w:rsid w:val="00E67713"/>
    <w:rsid w:val="00E714D8"/>
    <w:rsid w:val="00E73F6B"/>
    <w:rsid w:val="00E777EE"/>
    <w:rsid w:val="00E80EDB"/>
    <w:rsid w:val="00E8173E"/>
    <w:rsid w:val="00E854BF"/>
    <w:rsid w:val="00E93951"/>
    <w:rsid w:val="00E93C9C"/>
    <w:rsid w:val="00E95281"/>
    <w:rsid w:val="00E96137"/>
    <w:rsid w:val="00EA00DE"/>
    <w:rsid w:val="00EA0FF5"/>
    <w:rsid w:val="00EA21E4"/>
    <w:rsid w:val="00EA3DEE"/>
    <w:rsid w:val="00EA4799"/>
    <w:rsid w:val="00EA55AE"/>
    <w:rsid w:val="00EA7B1C"/>
    <w:rsid w:val="00EB0778"/>
    <w:rsid w:val="00EB0B49"/>
    <w:rsid w:val="00EB2707"/>
    <w:rsid w:val="00EB2E72"/>
    <w:rsid w:val="00EB5CD3"/>
    <w:rsid w:val="00EB6A18"/>
    <w:rsid w:val="00EB798E"/>
    <w:rsid w:val="00EB7D4D"/>
    <w:rsid w:val="00EC5767"/>
    <w:rsid w:val="00EC5CBC"/>
    <w:rsid w:val="00ED12FB"/>
    <w:rsid w:val="00ED16F5"/>
    <w:rsid w:val="00ED2259"/>
    <w:rsid w:val="00ED22E5"/>
    <w:rsid w:val="00ED37B7"/>
    <w:rsid w:val="00ED6CA2"/>
    <w:rsid w:val="00ED74B6"/>
    <w:rsid w:val="00ED7509"/>
    <w:rsid w:val="00ED7971"/>
    <w:rsid w:val="00ED7ED8"/>
    <w:rsid w:val="00EE1622"/>
    <w:rsid w:val="00EE2600"/>
    <w:rsid w:val="00EE2AE8"/>
    <w:rsid w:val="00EE3878"/>
    <w:rsid w:val="00EE5915"/>
    <w:rsid w:val="00EE5F43"/>
    <w:rsid w:val="00EE6385"/>
    <w:rsid w:val="00EE6D91"/>
    <w:rsid w:val="00EE7CA8"/>
    <w:rsid w:val="00EF0535"/>
    <w:rsid w:val="00EF22A9"/>
    <w:rsid w:val="00EF35DC"/>
    <w:rsid w:val="00EF457E"/>
    <w:rsid w:val="00EF704E"/>
    <w:rsid w:val="00EF7C77"/>
    <w:rsid w:val="00F01216"/>
    <w:rsid w:val="00F0191F"/>
    <w:rsid w:val="00F02102"/>
    <w:rsid w:val="00F02A9B"/>
    <w:rsid w:val="00F02CED"/>
    <w:rsid w:val="00F02DE5"/>
    <w:rsid w:val="00F03CE4"/>
    <w:rsid w:val="00F04C72"/>
    <w:rsid w:val="00F064D2"/>
    <w:rsid w:val="00F06D18"/>
    <w:rsid w:val="00F11A7F"/>
    <w:rsid w:val="00F1375D"/>
    <w:rsid w:val="00F13BD1"/>
    <w:rsid w:val="00F16A43"/>
    <w:rsid w:val="00F16BE4"/>
    <w:rsid w:val="00F201E7"/>
    <w:rsid w:val="00F20B2A"/>
    <w:rsid w:val="00F22BB7"/>
    <w:rsid w:val="00F244AF"/>
    <w:rsid w:val="00F24B96"/>
    <w:rsid w:val="00F2645A"/>
    <w:rsid w:val="00F266D4"/>
    <w:rsid w:val="00F27301"/>
    <w:rsid w:val="00F30602"/>
    <w:rsid w:val="00F30CEC"/>
    <w:rsid w:val="00F327FD"/>
    <w:rsid w:val="00F32A27"/>
    <w:rsid w:val="00F37A48"/>
    <w:rsid w:val="00F37A74"/>
    <w:rsid w:val="00F400B3"/>
    <w:rsid w:val="00F4072E"/>
    <w:rsid w:val="00F42636"/>
    <w:rsid w:val="00F42FD7"/>
    <w:rsid w:val="00F43AED"/>
    <w:rsid w:val="00F43C97"/>
    <w:rsid w:val="00F440FD"/>
    <w:rsid w:val="00F444BC"/>
    <w:rsid w:val="00F45AC6"/>
    <w:rsid w:val="00F45CD2"/>
    <w:rsid w:val="00F517E1"/>
    <w:rsid w:val="00F51CD4"/>
    <w:rsid w:val="00F51E63"/>
    <w:rsid w:val="00F52A4D"/>
    <w:rsid w:val="00F5337D"/>
    <w:rsid w:val="00F561B3"/>
    <w:rsid w:val="00F6366B"/>
    <w:rsid w:val="00F65186"/>
    <w:rsid w:val="00F70708"/>
    <w:rsid w:val="00F71D41"/>
    <w:rsid w:val="00F72D90"/>
    <w:rsid w:val="00F74135"/>
    <w:rsid w:val="00F77102"/>
    <w:rsid w:val="00F82E0D"/>
    <w:rsid w:val="00F84333"/>
    <w:rsid w:val="00F85425"/>
    <w:rsid w:val="00F86352"/>
    <w:rsid w:val="00F8744C"/>
    <w:rsid w:val="00F8785B"/>
    <w:rsid w:val="00F90941"/>
    <w:rsid w:val="00F95BD8"/>
    <w:rsid w:val="00F96933"/>
    <w:rsid w:val="00FA3BA1"/>
    <w:rsid w:val="00FA47E5"/>
    <w:rsid w:val="00FA6928"/>
    <w:rsid w:val="00FB2EA8"/>
    <w:rsid w:val="00FB3CB3"/>
    <w:rsid w:val="00FB44D0"/>
    <w:rsid w:val="00FB5100"/>
    <w:rsid w:val="00FB7949"/>
    <w:rsid w:val="00FC0E19"/>
    <w:rsid w:val="00FC2D2B"/>
    <w:rsid w:val="00FC3DF4"/>
    <w:rsid w:val="00FC4051"/>
    <w:rsid w:val="00FC62A5"/>
    <w:rsid w:val="00FC7786"/>
    <w:rsid w:val="00FD0198"/>
    <w:rsid w:val="00FD0410"/>
    <w:rsid w:val="00FD0600"/>
    <w:rsid w:val="00FD08AE"/>
    <w:rsid w:val="00FD26F3"/>
    <w:rsid w:val="00FD282D"/>
    <w:rsid w:val="00FD43DD"/>
    <w:rsid w:val="00FD5B3A"/>
    <w:rsid w:val="00FD5CED"/>
    <w:rsid w:val="00FD6011"/>
    <w:rsid w:val="00FD699E"/>
    <w:rsid w:val="00FD72A5"/>
    <w:rsid w:val="00FD7EC8"/>
    <w:rsid w:val="00FE146D"/>
    <w:rsid w:val="00FF0D9D"/>
    <w:rsid w:val="00FF4DCD"/>
    <w:rsid w:val="00FF61C9"/>
    <w:rsid w:val="00FF64FA"/>
    <w:rsid w:val="00FF6639"/>
    <w:rsid w:val="00FF665C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1B0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8"/>
          <c:dLbls>
            <c:dLbl>
              <c:idx val="0"/>
              <c:layout>
                <c:manualLayout>
                  <c:x val="-8.6799276672694395E-2"/>
                  <c:y val="0.15476190476190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485032725339712"/>
                  <c:y val="-0.165225909261342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0.20200000000000001</c:v>
                </c:pt>
                <c:pt idx="1">
                  <c:v>0.79800000000000004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88478392478599E-2"/>
          <c:y val="0.12996031746031747"/>
          <c:w val="0.47860156720916214"/>
          <c:h val="0.7876984126984126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"/>
          <c:dPt>
            <c:idx val="0"/>
            <c:bubble3D val="0"/>
            <c:explosion val="12"/>
          </c:dPt>
          <c:dLbls>
            <c:dLbl>
              <c:idx val="0"/>
              <c:layout>
                <c:manualLayout>
                  <c:x val="-0.15189873417721519"/>
                  <c:y val="-0.134920947381577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7410545200838"/>
                  <c:y val="0.13409230096237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en-US" i="1"/>
                      <a:t>0</a:t>
                    </a:r>
                    <a:r>
                      <a:rPr lang="en-US"/>
                      <a:t>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0.7</c:v>
                </c:pt>
                <c:pt idx="1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208384"/>
        <c:axId val="76210176"/>
      </c:barChart>
      <c:catAx>
        <c:axId val="76208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6210176"/>
        <c:crosses val="autoZero"/>
        <c:auto val="1"/>
        <c:lblAlgn val="ctr"/>
        <c:lblOffset val="100"/>
        <c:noMultiLvlLbl val="0"/>
      </c:catAx>
      <c:valAx>
        <c:axId val="762101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3175">
            <a:prstDash val="sysDot"/>
          </a:ln>
        </c:spPr>
        <c:crossAx val="762083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5369111490622213"/>
          <c:y val="0.10591893207919145"/>
          <c:w val="0.52246320619900821"/>
          <c:h val="0.737995928079083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1397200.75</c:v>
                </c:pt>
                <c:pt idx="1">
                  <c:v>13750.54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289714.3</c:v>
                </c:pt>
                <c:pt idx="1">
                  <c:v>772152.86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28928"/>
        <c:axId val="81230464"/>
      </c:barChart>
      <c:catAx>
        <c:axId val="81228928"/>
        <c:scaling>
          <c:orientation val="minMax"/>
        </c:scaling>
        <c:delete val="0"/>
        <c:axPos val="l"/>
        <c:majorTickMark val="out"/>
        <c:minorTickMark val="none"/>
        <c:tickLblPos val="nextTo"/>
        <c:crossAx val="81230464"/>
        <c:crosses val="autoZero"/>
        <c:auto val="1"/>
        <c:lblAlgn val="ctr"/>
        <c:lblOffset val="100"/>
        <c:noMultiLvlLbl val="0"/>
      </c:catAx>
      <c:valAx>
        <c:axId val="81230464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spPr>
          <a:ln w="3175">
            <a:prstDash val="sysDot"/>
          </a:ln>
        </c:spPr>
        <c:crossAx val="812289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7"/>
          <c:dPt>
            <c:idx val="0"/>
            <c:bubble3D val="0"/>
          </c:dPt>
          <c:dLbls>
            <c:dLbl>
              <c:idx val="0"/>
              <c:layout>
                <c:manualLayout>
                  <c:x val="-6.9636090504764075E-2"/>
                  <c:y val="-0.112991304823861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929334384984557E-2"/>
                  <c:y val="-0.117971968664713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2769190114034382"/>
                  <c:y val="-2.0378199613015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8586242084764866E-2"/>
                  <c:y val="2.2390822892927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732605949853537"/>
                  <c:y val="-4.860326069199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886359768168871E-2"/>
                  <c:y val="-8.949848073970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320299552999561"/>
                  <c:y val="-8.25214275601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1731029355119"/>
                  <c:y val="-7.5970420709859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474226078276718"/>
                  <c:y val="5.9207614362140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03916404647371E-2"/>
                  <c:y val="-4.2736048035489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7977838094470276E-2"/>
                  <c:y val="1.259552099556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8961059901642028E-2"/>
                  <c:y val="-6.116683547336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5.3858089470564904E-2"/>
                  <c:y val="-6.2218792329366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8305994857603749E-2"/>
                  <c:y val="-3.189221561699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8790709842941659E-2"/>
                  <c:y val="4.2220904310483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9.878049809690187E-2"/>
                  <c:y val="-1.0304650505013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Лист1!$A$2:$A$12</c:f>
              <c:strCache>
                <c:ptCount val="11"/>
                <c:pt idx="0">
                  <c:v>Выполнение работ по ремонту улично-дорожной сети города Благовещенска, инженерных сетей, ливневой канализации, работ по благоустройству дворовых территорий многоквартирных жилых домов </c:v>
                </c:pt>
                <c:pt idx="1">
                  <c:v>Оказание услуг по предоставлению денежных средств (кредита)</c:v>
                </c:pt>
                <c:pt idx="2">
                  <c:v>Выполнение работ по разработке проекта планировки территории и проекта межевания территории </c:v>
                </c:pt>
                <c:pt idx="3">
                  <c:v>Оказание услуг по организации доступа к единой системе видеонаблюдения города Благовещенска </c:v>
                </c:pt>
                <c:pt idx="4">
                  <c:v>Выполнение работ  по ремонту помещений</c:v>
                </c:pt>
                <c:pt idx="5">
                  <c:v>Выполнение кадастровых работ </c:v>
                </c:pt>
                <c:pt idx="6">
                  <c:v>Прочие услуги</c:v>
                </c:pt>
                <c:pt idx="7">
                  <c:v>Прочие товары</c:v>
                </c:pt>
                <c:pt idx="8">
                  <c:v>Прочие работы</c:v>
                </c:pt>
                <c:pt idx="9">
                  <c:v>Поставка нефтепродуктов</c:v>
                </c:pt>
                <c:pt idx="10">
                  <c:v>Оказание услуг по организации и проведению городских спортивных и молодежных  мероприятий</c:v>
                </c:pt>
              </c:strCache>
            </c:strRef>
          </c:cat>
          <c:val>
            <c:numRef>
              <c:f>Лист1!$B$2:$B$12</c:f>
              <c:numCache>
                <c:formatCode>0.00%</c:formatCode>
                <c:ptCount val="11"/>
                <c:pt idx="0">
                  <c:v>0.94099999999999995</c:v>
                </c:pt>
                <c:pt idx="1">
                  <c:v>1.2E-2</c:v>
                </c:pt>
                <c:pt idx="2">
                  <c:v>2E-3</c:v>
                </c:pt>
                <c:pt idx="3">
                  <c:v>1.9E-2</c:v>
                </c:pt>
                <c:pt idx="4">
                  <c:v>2E-3</c:v>
                </c:pt>
                <c:pt idx="5">
                  <c:v>1E-3</c:v>
                </c:pt>
                <c:pt idx="6">
                  <c:v>1.6E-2</c:v>
                </c:pt>
                <c:pt idx="7">
                  <c:v>2E-3</c:v>
                </c:pt>
                <c:pt idx="8">
                  <c:v>1E-3</c:v>
                </c:pt>
                <c:pt idx="9">
                  <c:v>3.0000000000000001E-3</c:v>
                </c:pt>
                <c:pt idx="10">
                  <c:v>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383269615413834"/>
          <c:y val="6.0752487051517166E-3"/>
          <c:w val="0.37397108181574545"/>
          <c:h val="0.96610533077679261"/>
        </c:manualLayout>
      </c:layout>
      <c:overlay val="0"/>
      <c:txPr>
        <a:bodyPr/>
        <a:lstStyle/>
        <a:p>
          <a:pPr>
            <a:lnSpc>
              <a:spcPts val="960"/>
            </a:lnSpc>
            <a:defRPr sz="800" kern="7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9201349831271089E-2"/>
                  <c:y val="0.144505374328208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854166963306802"/>
                  <c:y val="-0.168493000874890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0.17699999999999999</c:v>
                </c:pt>
                <c:pt idx="1">
                  <c:v>0.82299999999999995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5.7866184448462928E-2"/>
                  <c:y val="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524668593640942E-2"/>
                  <c:y val="-0.23412323459567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9.7000000000000003E-2</c:v>
                </c:pt>
                <c:pt idx="1">
                  <c:v>0.90300000000000002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1"/>
            <c:bubble3D val="0"/>
            <c:explosion val="1"/>
          </c:dPt>
          <c:dLbls>
            <c:dLbl>
              <c:idx val="0"/>
              <c:layout>
                <c:manualLayout>
                  <c:x val="-0.1301989150090416"/>
                  <c:y val="-0.13095238095238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742103439601696"/>
                  <c:y val="7.8434883139607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0.67900000000000005</c:v>
                </c:pt>
                <c:pt idx="1">
                  <c:v>0.32100000000000001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7884-E068-4E00-AFC9-0F472885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19</Pages>
  <Words>3842</Words>
  <Characters>26510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МИО</Company>
  <LinksUpToDate>false</LinksUpToDate>
  <CharactersWithSpaces>30292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Хрянина Наталья Александровна</dc:creator>
  <cp:lastModifiedBy>Чебыкина Инга Александровна</cp:lastModifiedBy>
  <cp:revision>296</cp:revision>
  <cp:lastPrinted>2021-04-18T06:56:00Z</cp:lastPrinted>
  <dcterms:created xsi:type="dcterms:W3CDTF">2020-12-01T06:14:00Z</dcterms:created>
  <dcterms:modified xsi:type="dcterms:W3CDTF">2021-04-29T00:35:00Z</dcterms:modified>
</cp:coreProperties>
</file>