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 по проекту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4F750B" w:rsidRDefault="0071135A" w:rsidP="004F75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4F750B" w:rsidRPr="004F7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</w:t>
      </w:r>
    </w:p>
    <w:p w:rsidR="004F750B" w:rsidRDefault="004F750B" w:rsidP="004F75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F7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земельного участка с кадастровым номером 28:01:010088:65, </w:t>
      </w:r>
    </w:p>
    <w:p w:rsidR="0071135A" w:rsidRDefault="004F750B" w:rsidP="004F750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4F7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расположенного в квартале 88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45417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A454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45417" w:rsidRPr="00A454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Pr="00A454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 w:rsidRPr="00A4541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A454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A45417" w:rsidRPr="00A454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 w:rsidR="0079317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737519" w:rsidRDefault="00C572CC" w:rsidP="00737519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4F750B" w:rsidRPr="004F7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28:01:010088:65, расположенного в квартале 88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541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A45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5417" w:rsidRPr="00A45417">
        <w:rPr>
          <w:rFonts w:ascii="Times New Roman" w:eastAsia="Times New Roman" w:hAnsi="Times New Roman" w:cs="Times New Roman"/>
          <w:sz w:val="26"/>
          <w:szCs w:val="26"/>
          <w:lang w:eastAsia="ru-RU"/>
        </w:rPr>
        <w:t>69</w:t>
      </w:r>
      <w:r w:rsidR="00B43AA7" w:rsidRPr="00A45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5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45417" w:rsidRPr="00A454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17</w:t>
      </w:r>
      <w:r w:rsidRPr="00A454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A454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A45417" w:rsidRPr="00A454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A454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A4541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A45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19.07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0FFE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19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2504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</w:t>
      </w:r>
    </w:p>
    <w:p w:rsidR="0071135A" w:rsidRDefault="0071135A" w:rsidP="002D0FF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опубликования заключения о результатах публичных слушаний)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A4541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 августа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7375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E2504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августа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E25046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4F750B" w:rsidRPr="004F7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 использования земельного участка с кадастровым номером 28:01:010088:65, расположенного в квартале 88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A45417">
        <w:rPr>
          <w:rFonts w:ascii="Times New Roman" w:hAnsi="Times New Roman" w:cs="Times New Roman"/>
          <w:sz w:val="26"/>
          <w:szCs w:val="26"/>
          <w:u w:val="single"/>
          <w:lang w:eastAsia="ru-RU"/>
        </w:rPr>
        <w:t>2</w:t>
      </w:r>
      <w:r w:rsidR="008427A5"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человек</w:t>
      </w:r>
      <w:r w:rsidR="00A45417">
        <w:rPr>
          <w:rFonts w:ascii="Times New Roman" w:hAnsi="Times New Roman" w:cs="Times New Roman"/>
          <w:sz w:val="26"/>
          <w:szCs w:val="26"/>
          <w:u w:val="single"/>
          <w:lang w:eastAsia="ru-RU"/>
        </w:rPr>
        <w:t>а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B2C28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Информацию по проекту представил</w:t>
      </w:r>
      <w:r w:rsidR="008427A5" w:rsidRPr="008B2C28">
        <w:rPr>
          <w:rFonts w:ascii="Times New Roman" w:eastAsia="Calibri" w:hAnsi="Times New Roman" w:cs="Times New Roman"/>
          <w:sz w:val="26"/>
          <w:szCs w:val="26"/>
          <w:lang w:eastAsia="ru-RU"/>
        </w:rPr>
        <w:t>а</w:t>
      </w:r>
      <w:r w:rsidRPr="008B2C2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8B2C28" w:rsidRPr="008B2C2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Красюк Ирина Анатольевна</w:t>
      </w:r>
      <w:r w:rsidRPr="008B2C2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по проекту в Комиссию от участников публичных слушаний в </w:t>
      </w:r>
      <w:r w:rsidRPr="008B2C28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установленном порядке поступили предложения и замечания для включения в протокол публичных слушаний.</w:t>
      </w: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2D0FFE" w:rsidRDefault="002D0FFE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352D" w:rsidRDefault="0096352D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44D6B" w:rsidRDefault="003B0664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Информация содержится в таблицах: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7"/>
        <w:gridCol w:w="7289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2D5106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F0DDF" w:rsidRPr="007F0DDF" w:rsidTr="002D5106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865767" w:rsidRDefault="00865767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DDF" w:rsidRPr="00865767" w:rsidRDefault="00865767" w:rsidP="007F0DDF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57"/>
        <w:gridCol w:w="7289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2D5106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2D5106"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767" w:rsidRPr="00865767" w:rsidRDefault="00865767" w:rsidP="002D5106">
            <w:pPr>
              <w:autoSpaceDE w:val="0"/>
              <w:autoSpaceDN w:val="0"/>
              <w:adjustRightInd w:val="0"/>
              <w:spacing w:after="0" w:line="240" w:lineRule="auto"/>
              <w:ind w:left="142" w:righ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Мех Игорь Валерьевич</w:t>
            </w:r>
          </w:p>
          <w:p w:rsidR="00865767" w:rsidRPr="00865767" w:rsidRDefault="00865767" w:rsidP="002D5106">
            <w:pPr>
              <w:autoSpaceDE w:val="0"/>
              <w:autoSpaceDN w:val="0"/>
              <w:adjustRightInd w:val="0"/>
              <w:spacing w:after="0" w:line="240" w:lineRule="auto"/>
              <w:ind w:left="142" w:righ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1135A" w:rsidRDefault="00865767" w:rsidP="002D5106">
            <w:pPr>
              <w:autoSpaceDE w:val="0"/>
              <w:autoSpaceDN w:val="0"/>
              <w:adjustRightInd w:val="0"/>
              <w:spacing w:after="0" w:line="240" w:lineRule="auto"/>
              <w:ind w:left="142" w:righ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Тимошенко Лев Иванович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767" w:rsidRPr="00865767" w:rsidRDefault="00865767" w:rsidP="002D5106">
            <w:pPr>
              <w:autoSpaceDE w:val="0"/>
              <w:autoSpaceDN w:val="0"/>
              <w:adjustRightInd w:val="0"/>
              <w:spacing w:after="0" w:line="240" w:lineRule="auto"/>
              <w:ind w:left="80" w:right="141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Ознакомившись с материалами, мы возражаем против проекта постановления администрации г. Благовещенска </w:t>
            </w:r>
            <w:r w:rsidR="002D5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8657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 предоставлении разрешения на условно разрешенный вид использования земельного участка с кадастровым номером 28:01:010088:65, расположенного в квартале 88 города Благовещенска» в данной редакции по нижеследующим основаниям.</w:t>
            </w:r>
          </w:p>
          <w:p w:rsidR="00865767" w:rsidRPr="00865767" w:rsidRDefault="006C1E1D" w:rsidP="002D5106">
            <w:pPr>
              <w:autoSpaceDE w:val="0"/>
              <w:autoSpaceDN w:val="0"/>
              <w:adjustRightInd w:val="0"/>
              <w:spacing w:after="0" w:line="240" w:lineRule="auto"/>
              <w:ind w:left="80" w:right="141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="00865767" w:rsidRPr="008657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ем</w:t>
            </w:r>
            <w:r w:rsidR="00865767" w:rsidRPr="008657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ся собственниками и застройщиками смежного земельного участка под кадастровым номером 28:01:010088:1068 в 88 квартале г. Благовещенска.</w:t>
            </w:r>
          </w:p>
          <w:p w:rsidR="00865767" w:rsidRPr="00865767" w:rsidRDefault="00865767" w:rsidP="002D5106">
            <w:pPr>
              <w:autoSpaceDE w:val="0"/>
              <w:autoSpaceDN w:val="0"/>
              <w:adjustRightInd w:val="0"/>
              <w:spacing w:after="0" w:line="240" w:lineRule="auto"/>
              <w:ind w:left="80" w:right="141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 июня 2018 года получили в администрации г. Благовещенска разрешение на строи</w:t>
            </w:r>
            <w:r w:rsidR="002D510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тельство № 28-Ru </w:t>
            </w:r>
            <w:r w:rsidRPr="008657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28302000-140- 2018</w:t>
            </w:r>
            <w:r w:rsidR="006C1E1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57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25 июня 2018 года на строительство многоквартирного жилого дома. В настоящий момент  9-этажный многоквартирный жилой дом построен (фото прилагается), ведутся плановые работы по благоустройству прилегающей территории. В сентябре 2019 года планируется сдача объекта.</w:t>
            </w:r>
          </w:p>
          <w:p w:rsidR="00865767" w:rsidRPr="00865767" w:rsidRDefault="00865767" w:rsidP="002D5106">
            <w:pPr>
              <w:autoSpaceDE w:val="0"/>
              <w:autoSpaceDN w:val="0"/>
              <w:adjustRightInd w:val="0"/>
              <w:spacing w:after="0" w:line="240" w:lineRule="auto"/>
              <w:ind w:left="80" w:right="141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Данному многоквартирному жилому дому присвоен адрес: Амурская область, г. Благовещенск, ул. Пушкина 89, что подтверждается выпиской из адресного реестра г. Благовещенска.</w:t>
            </w:r>
          </w:p>
          <w:p w:rsidR="00865767" w:rsidRPr="00865767" w:rsidRDefault="00865767" w:rsidP="002D5106">
            <w:pPr>
              <w:autoSpaceDE w:val="0"/>
              <w:autoSpaceDN w:val="0"/>
              <w:adjustRightInd w:val="0"/>
              <w:spacing w:after="0" w:line="240" w:lineRule="auto"/>
              <w:ind w:left="80" w:right="141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Calibri" w:hAnsi="Times New Roman" w:cs="Times New Roman"/>
                <w:sz w:val="24"/>
                <w:szCs w:val="24"/>
                <w:lang w:eastAsia="ru-RU" w:bidi="ru-RU"/>
              </w:rPr>
              <w:t xml:space="preserve">В соответствии с действующим </w:t>
            </w: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СП 42.13330.2011 Градостроительство. Планировка и застройка городских и сельских поселений. Актуализированная редакция </w:t>
            </w:r>
            <w:r w:rsidR="002D51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               СНиП 2.07.01-89* </w:t>
            </w: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(с Поправкой, с Изменением N 1), пункт 11.25:</w:t>
            </w:r>
          </w:p>
          <w:p w:rsidR="00865767" w:rsidRPr="00865767" w:rsidRDefault="00865767" w:rsidP="002D5106">
            <w:pPr>
              <w:autoSpaceDE w:val="0"/>
              <w:autoSpaceDN w:val="0"/>
              <w:adjustRightInd w:val="0"/>
              <w:spacing w:after="0" w:line="240" w:lineRule="auto"/>
              <w:ind w:left="80" w:right="141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Расстояния от наземных и наземно-подземных гаражей, открытых стоянок, предназначен</w:t>
            </w:r>
            <w:r w:rsidR="002D51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ных для постоянного </w:t>
            </w: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 временного хранения легковых автомобилей, и станций технического обслуживания до жилых домов и общественных зданий, а также до участков школ, детских яслей-садов и лечебных учреждений стационарного типа, размещаемых на селитебных территориях, следует принимать не менее приведенных в таблице 10.</w:t>
            </w:r>
          </w:p>
          <w:p w:rsidR="00865767" w:rsidRPr="00865767" w:rsidRDefault="00865767" w:rsidP="002D5106">
            <w:pPr>
              <w:autoSpaceDE w:val="0"/>
              <w:autoSpaceDN w:val="0"/>
              <w:adjustRightInd w:val="0"/>
              <w:spacing w:after="0" w:line="240" w:lineRule="auto"/>
              <w:ind w:left="80" w:right="141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В таблице 10 указано, что от жилых домов расстояние до </w:t>
            </w: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lastRenderedPageBreak/>
              <w:t xml:space="preserve">гаражей и открытых стоянок при числе легковых автомобилей </w:t>
            </w:r>
            <w:r w:rsidR="002D51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   </w:t>
            </w: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11-50 штук должно быть не менее 15 метров, о чем нам неустанно указывает в этом конкретном случае Инспекция государственного строительного надзора Амурской области.</w:t>
            </w:r>
          </w:p>
          <w:p w:rsidR="00865767" w:rsidRPr="00865767" w:rsidRDefault="00865767" w:rsidP="002D5106">
            <w:pPr>
              <w:autoSpaceDE w:val="0"/>
              <w:autoSpaceDN w:val="0"/>
              <w:adjustRightInd w:val="0"/>
              <w:spacing w:after="0" w:line="240" w:lineRule="auto"/>
              <w:ind w:left="80" w:right="141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В настоящий момент на смежном с нами участке кадастровый номер 28:01:010088:65 на расстоянии 9 м от окон девятиэтажного жилого дома, собственниками этого участка самовольно установлено 14 гаражных боксов, которые используются для стоянки автомашин (фото прилагается). К этим гаражным боксам на смежном участке ка</w:t>
            </w:r>
            <w:r w:rsidR="002D51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дастровый номер 28:01:010088:15 </w:t>
            </w: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на расстоянии менее 1 метра примыкает еще одна группа самовольно установленных гаражей численностью 16 штук (фото прилагается.) То есть, общий гаражный массив на сегодняшний д</w:t>
            </w:r>
            <w:r w:rsidR="002D51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ень в этом месте 88 квартала </w:t>
            </w: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г. Благовещенска составляет 30 гаражей.</w:t>
            </w:r>
          </w:p>
          <w:p w:rsidR="00865767" w:rsidRPr="00865767" w:rsidRDefault="00865767" w:rsidP="002D5106">
            <w:pPr>
              <w:autoSpaceDE w:val="0"/>
              <w:autoSpaceDN w:val="0"/>
              <w:adjustRightInd w:val="0"/>
              <w:spacing w:after="0" w:line="240" w:lineRule="auto"/>
              <w:ind w:left="80" w:right="141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Поэтому, несмотря на то, что для прохождения публичных слушаний была представлена схема постановки всего 6 гаражных боксов, на земельном участке с кадастровым номером 28:01:010088:65 (что явно не соответствует действительности, с учетом размеров всего гаражного массива), в любом случае, должен быть соблюден санитарный отступ в 15 метров от гаражных боксов до вновь построенного 9-ти этажного многоквартирного жилого дома, расположенного по адресу: </w:t>
            </w:r>
            <w:r w:rsidR="002D51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         </w:t>
            </w: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г. Благовещенск, ул. Пушкина 89.</w:t>
            </w:r>
          </w:p>
          <w:p w:rsidR="00865767" w:rsidRPr="00865767" w:rsidRDefault="00865767" w:rsidP="002D5106">
            <w:pPr>
              <w:autoSpaceDE w:val="0"/>
              <w:autoSpaceDN w:val="0"/>
              <w:adjustRightInd w:val="0"/>
              <w:spacing w:after="0" w:line="240" w:lineRule="auto"/>
              <w:ind w:left="80" w:right="141" w:firstLine="425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>В соответствии с действующим законодательством РФ, при предоставлении разрешения на условно разрешенный вид использования земельного участка могут быть добавлены условия.</w:t>
            </w:r>
          </w:p>
          <w:p w:rsidR="0071135A" w:rsidRDefault="00865767" w:rsidP="002D5106">
            <w:pPr>
              <w:autoSpaceDE w:val="0"/>
              <w:autoSpaceDN w:val="0"/>
              <w:adjustRightInd w:val="0"/>
              <w:spacing w:after="0" w:line="240" w:lineRule="auto"/>
              <w:ind w:left="80" w:right="141" w:firstLine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Исходя из вышесказанного, и в целях соблюдения законодательства РФ, настаиваем о внесении в проект Постановления администрации г. Благовещенска </w:t>
            </w:r>
            <w:r w:rsidR="002D5106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                          </w:t>
            </w: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«О предоставлении разрешения на условно разрешенный вид использования земельного участка с кадастровым номером 28:01:010088:65, расположенного в квартале 88 города Благовещенска» </w:t>
            </w: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ru-RU" w:bidi="ru-RU"/>
              </w:rPr>
              <w:t>обязательного условия</w:t>
            </w: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 о наличии и соблюдении отступа в 15 метров от 9-ти этажного многоквартирного жилого дома, расположенного по адресу: г. Благовещенск,                 </w:t>
            </w:r>
            <w:r w:rsidR="0079317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      </w:t>
            </w:r>
            <w:r w:rsidRPr="0086576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 w:bidi="ru-RU"/>
              </w:rPr>
              <w:t xml:space="preserve"> ул. Пушкина 89, до гаражных боксов, расположенных на земельном участке с кадастровым номером 28:01:010088:65.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33A42" w:rsidRPr="00733A42" w:rsidRDefault="00E15967" w:rsidP="00733A4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733A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предоставить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разрешение </w:t>
      </w:r>
      <w:r w:rsidR="008D62BC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условно разрешенный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использования </w:t>
      </w:r>
      <w:r w:rsidR="00A60F4B" w:rsidRPr="00A60F4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земельного участка с кадастровым номером </w:t>
      </w:r>
      <w:r w:rsidR="004F750B" w:rsidRPr="004F7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28:01:010088:65 площадью          607 кв</w:t>
      </w:r>
      <w:proofErr w:type="gramStart"/>
      <w:r w:rsidR="004F750B" w:rsidRPr="004F7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4F750B" w:rsidRPr="004F7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с разрешенным использ</w:t>
      </w:r>
      <w:r w:rsidR="00FC2B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ованием – индивидуальное жилье, </w:t>
      </w:r>
      <w:r w:rsidR="00FC2BBE" w:rsidRPr="00FC2B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находящегося в общей долевой собственности Антоненко Марины Федоровны, Вишневского Александра Николаевича, </w:t>
      </w:r>
      <w:proofErr w:type="spellStart"/>
      <w:r w:rsidR="00FC2BBE" w:rsidRPr="00FC2B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Жуленёва</w:t>
      </w:r>
      <w:proofErr w:type="spellEnd"/>
      <w:r w:rsidR="00FC2BBE" w:rsidRPr="00FC2B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Евгения Викторовича, Ильина Алексея Александровича, Нестерова Максима Александровича, </w:t>
      </w:r>
      <w:proofErr w:type="spellStart"/>
      <w:r w:rsidR="00FC2BBE" w:rsidRPr="00FC2B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Юнаева</w:t>
      </w:r>
      <w:proofErr w:type="spellEnd"/>
      <w:r w:rsidR="00FC2BBE" w:rsidRPr="00FC2B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Юрия Ивановича, Сидоренко Александра Павловича, Собко Виктора Павловича, </w:t>
      </w:r>
      <w:proofErr w:type="spellStart"/>
      <w:r w:rsidR="00FC2BBE" w:rsidRPr="00FC2B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Утоплова</w:t>
      </w:r>
      <w:proofErr w:type="spellEnd"/>
      <w:r w:rsidR="00FC2BBE" w:rsidRPr="00FC2B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Романа Анатольевича, </w:t>
      </w:r>
      <w:proofErr w:type="spellStart"/>
      <w:r w:rsidR="00FC2BBE" w:rsidRPr="00FC2B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Ширмана</w:t>
      </w:r>
      <w:proofErr w:type="spellEnd"/>
      <w:r w:rsidR="00FC2BBE" w:rsidRPr="00FC2B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Павла Николаевича, Шепелевой Анны Александровны, </w:t>
      </w:r>
      <w:proofErr w:type="spellStart"/>
      <w:r w:rsidR="00FC2BBE" w:rsidRPr="00FC2B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Архарова</w:t>
      </w:r>
      <w:proofErr w:type="spellEnd"/>
      <w:r w:rsidR="00FC2BBE" w:rsidRPr="00FC2B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Владимира Валерьевича</w:t>
      </w:r>
      <w:r w:rsidR="00FC2B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  <w:proofErr w:type="spellStart"/>
      <w:r w:rsidR="00FC2B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Прокофичева</w:t>
      </w:r>
      <w:proofErr w:type="spellEnd"/>
      <w:r w:rsidR="00FC2BB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Олега Николаевича</w:t>
      </w:r>
      <w:r w:rsidR="004F750B" w:rsidRPr="004F75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расположенного в квартале 88 города Благовещенска, в территориальной зоне жилой застройки смешанной этажности (Ж-4) – в соответствии с Классификатором – «хранение автотранспорта», код 2.7.1 (согласно градостроительному регламенту территориальной зоны Ж-4 – «объект га</w:t>
      </w:r>
      <w:r w:rsidR="00733A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ражного назначения», код 2.7.1</w:t>
      </w:r>
      <w:r w:rsidR="00733A42" w:rsidRPr="00733A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)</w:t>
      </w:r>
      <w:r w:rsidR="00733A4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33A42" w:rsidRPr="00733A42" w:rsidRDefault="00733A42" w:rsidP="00733A42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A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соответствии с частью 9 статьи 7 Правил</w:t>
      </w:r>
      <w:r w:rsidR="006C1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землепользования и застройки муниципального образования города Благовещенска</w:t>
      </w:r>
      <w:r w:rsidRPr="00733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соблюдения технических регламентов (нормативов и стан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дартов) </w:t>
      </w:r>
      <w:r w:rsidRPr="00733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разрешение на </w:t>
      </w:r>
      <w:r w:rsidR="006C1E1D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условно разрешенный вид использования земельного участка</w:t>
      </w:r>
      <w:r w:rsidRPr="00733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предоставит</w:t>
      </w:r>
      <w:r w:rsidRPr="00733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 </w:t>
      </w:r>
      <w:r w:rsidRPr="00733A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установлением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следующих </w:t>
      </w:r>
      <w:r w:rsidRPr="00733A42">
        <w:rPr>
          <w:rFonts w:ascii="Times New Roman" w:eastAsia="Calibri" w:hAnsi="Times New Roman" w:cs="Times New Roman"/>
          <w:sz w:val="26"/>
          <w:szCs w:val="26"/>
          <w:lang w:eastAsia="ru-RU"/>
        </w:rPr>
        <w:t>условий, определяющих пределы реализации данного разрешения:</w:t>
      </w:r>
      <w:r w:rsidRPr="00733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33A42" w:rsidRPr="00733A42" w:rsidRDefault="00733A42" w:rsidP="00733A42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33A42">
        <w:rPr>
          <w:rFonts w:ascii="Times New Roman" w:eastAsia="Times New Roman" w:hAnsi="Times New Roman" w:cs="Times New Roman"/>
          <w:sz w:val="26"/>
          <w:szCs w:val="26"/>
          <w:lang w:eastAsia="ru-RU"/>
        </w:rPr>
        <w:t>1) размещение гаражей в один ряд</w:t>
      </w:r>
      <w:r w:rsidR="00916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количеством боксов </w:t>
      </w:r>
      <w:r w:rsidR="00E05C84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16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</w:t>
      </w:r>
      <w:r w:rsidRPr="00733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(согласно </w:t>
      </w:r>
      <w:r w:rsidR="006C1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представленной на публичные слушания </w:t>
      </w:r>
      <w:r w:rsidRPr="00733A4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проработке);</w:t>
      </w:r>
      <w:bookmarkStart w:id="0" w:name="_GoBack"/>
      <w:bookmarkEnd w:id="0"/>
    </w:p>
    <w:p w:rsidR="004F750B" w:rsidRPr="00733A42" w:rsidRDefault="00733A42" w:rsidP="00733A42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color w:val="0000FF"/>
          <w:sz w:val="12"/>
          <w:szCs w:val="12"/>
          <w:highlight w:val="yellow"/>
          <w:u w:val="single"/>
          <w:lang w:eastAsia="ru-RU"/>
        </w:rPr>
      </w:pPr>
      <w:r w:rsidRPr="00733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2) соблюдение 15-метрового разрыва до строящегося многоквартирного жилого дома, расположенного с западной стороны </w:t>
      </w:r>
      <w:r w:rsidR="00916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рассматриваемого </w:t>
      </w:r>
      <w:r w:rsidRPr="00733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земельного участка.  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Основания принятого решения:</w:t>
      </w:r>
    </w:p>
    <w:p w:rsidR="00BB5748" w:rsidRDefault="00BB5748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1) </w:t>
      </w:r>
      <w:r w:rsidR="009165D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необходимость </w:t>
      </w:r>
      <w:r w:rsidR="006C1E1D">
        <w:rPr>
          <w:rFonts w:ascii="Times New Roman" w:eastAsia="Calibri" w:hAnsi="Times New Roman" w:cs="Times New Roman"/>
          <w:sz w:val="26"/>
          <w:szCs w:val="26"/>
          <w:lang w:eastAsia="ru-RU"/>
        </w:rPr>
        <w:t>соблюдени</w:t>
      </w:r>
      <w:r w:rsidR="009165D8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6C1E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прав и законных интересов </w:t>
      </w:r>
      <w:r w:rsidR="006C1E1D" w:rsidRPr="00BB5748">
        <w:rPr>
          <w:rFonts w:ascii="Times New Roman" w:eastAsia="Calibri" w:hAnsi="Times New Roman" w:cs="Times New Roman"/>
          <w:sz w:val="26"/>
          <w:szCs w:val="26"/>
          <w:lang w:eastAsia="ru-RU"/>
        </w:rPr>
        <w:t>правообладателей смежного земельного участка с кадастровым номером 28:01:010088:1068</w:t>
      </w:r>
      <w:r w:rsidR="009165D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 строящегося объекта капитального строительства</w:t>
      </w:r>
      <w:r w:rsidR="006C1E1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(учёт их </w:t>
      </w:r>
      <w:r w:rsidRPr="00BB5748">
        <w:rPr>
          <w:rFonts w:ascii="Times New Roman" w:eastAsia="Calibri" w:hAnsi="Times New Roman" w:cs="Times New Roman"/>
          <w:sz w:val="26"/>
          <w:szCs w:val="26"/>
          <w:lang w:eastAsia="ru-RU"/>
        </w:rPr>
        <w:t>мнени</w:t>
      </w:r>
      <w:r w:rsidR="006C1E1D"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Pr="00BB5748">
        <w:rPr>
          <w:rFonts w:ascii="Times New Roman" w:eastAsia="Calibri" w:hAnsi="Times New Roman" w:cs="Times New Roman"/>
          <w:sz w:val="26"/>
          <w:szCs w:val="26"/>
          <w:lang w:eastAsia="ru-RU"/>
        </w:rPr>
        <w:t>, выявленно</w:t>
      </w:r>
      <w:r w:rsidR="006C1E1D">
        <w:rPr>
          <w:rFonts w:ascii="Times New Roman" w:eastAsia="Calibri" w:hAnsi="Times New Roman" w:cs="Times New Roman"/>
          <w:sz w:val="26"/>
          <w:szCs w:val="26"/>
          <w:lang w:eastAsia="ru-RU"/>
        </w:rPr>
        <w:t>го</w:t>
      </w:r>
      <w:r w:rsidRPr="00BB57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ход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е проведения публичных слушаний</w:t>
      </w:r>
      <w:r w:rsidR="009165D8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BB5748" w:rsidRPr="00BB5748" w:rsidRDefault="00BB5748" w:rsidP="00BB574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2) </w:t>
      </w:r>
      <w:r w:rsidR="009165D8">
        <w:rPr>
          <w:rFonts w:ascii="Times New Roman" w:eastAsia="Calibri" w:hAnsi="Times New Roman" w:cs="Times New Roman"/>
          <w:sz w:val="26"/>
          <w:szCs w:val="26"/>
          <w:lang w:eastAsia="ru-RU"/>
        </w:rPr>
        <w:t>необходимость</w:t>
      </w:r>
      <w:r w:rsidR="009165D8" w:rsidRPr="00733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соблюдения технических регламентов </w:t>
      </w:r>
      <w:r w:rsidR="00916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9165D8" w:rsidRPr="00733A42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нормативов и стан</w:t>
      </w:r>
      <w:r w:rsidR="009165D8">
        <w:rPr>
          <w:rFonts w:ascii="Times New Roman" w:eastAsia="Times New Roman" w:hAnsi="Times New Roman" w:cs="Times New Roman"/>
          <w:sz w:val="26"/>
          <w:szCs w:val="26"/>
          <w:lang w:eastAsia="ru-RU"/>
        </w:rPr>
        <w:t>дартов (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поступившее </w:t>
      </w:r>
      <w:r w:rsidRPr="00BB5748">
        <w:rPr>
          <w:rFonts w:ascii="Times New Roman" w:eastAsia="Calibri" w:hAnsi="Times New Roman" w:cs="Times New Roman"/>
          <w:sz w:val="26"/>
          <w:szCs w:val="26"/>
          <w:lang w:eastAsia="ru-RU"/>
        </w:rPr>
        <w:t>в период проведения публичных слушан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ий на имя председателя Комиссии</w:t>
      </w:r>
      <w:r w:rsidRPr="00BB57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обращение инспекции Госстройнадзора области, содерж</w:t>
      </w:r>
      <w:r w:rsidR="00402C9E">
        <w:rPr>
          <w:rFonts w:ascii="Times New Roman" w:eastAsia="Calibri" w:hAnsi="Times New Roman" w:cs="Times New Roman"/>
          <w:sz w:val="26"/>
          <w:szCs w:val="26"/>
          <w:lang w:eastAsia="ru-RU"/>
        </w:rPr>
        <w:t>ащее официальную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позици</w:t>
      </w:r>
      <w:r w:rsidR="00402C9E">
        <w:rPr>
          <w:rFonts w:ascii="Times New Roman" w:eastAsia="Calibri" w:hAnsi="Times New Roman" w:cs="Times New Roman"/>
          <w:sz w:val="26"/>
          <w:szCs w:val="26"/>
          <w:lang w:eastAsia="ru-RU"/>
        </w:rPr>
        <w:t>ю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Инспекции</w:t>
      </w:r>
      <w:r w:rsidRPr="00BB57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402C9E">
        <w:rPr>
          <w:rFonts w:ascii="Times New Roman" w:eastAsia="Calibri" w:hAnsi="Times New Roman" w:cs="Times New Roman"/>
          <w:sz w:val="26"/>
          <w:szCs w:val="26"/>
          <w:lang w:eastAsia="ru-RU"/>
        </w:rPr>
        <w:t>в части</w:t>
      </w:r>
      <w:r w:rsidRPr="00BB57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соблюдения норм земельного и градостроительного законодательства</w:t>
      </w:r>
      <w:r w:rsidR="009165D8"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402C9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3B0664" w:rsidRPr="003B0664" w:rsidRDefault="003B0664" w:rsidP="002D0FF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</w:t>
      </w:r>
      <w:r w:rsidR="004F750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8B2C2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8B2C28" w:rsidRPr="008B2C28">
        <w:rPr>
          <w:rFonts w:ascii="Times New Roman" w:eastAsia="Calibri" w:hAnsi="Times New Roman" w:cs="Times New Roman"/>
          <w:sz w:val="26"/>
          <w:szCs w:val="26"/>
          <w:lang w:eastAsia="ru-RU"/>
        </w:rPr>
        <w:t>О.Г. Имамеев</w:t>
      </w:r>
    </w:p>
    <w:p w:rsidR="003B0664" w:rsidRPr="00BC7906" w:rsidRDefault="003B0664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1A7DB3" w:rsidP="007F0DD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5D8" w:rsidRDefault="009165D8">
      <w:pPr>
        <w:spacing w:after="0" w:line="240" w:lineRule="auto"/>
      </w:pPr>
      <w:r>
        <w:separator/>
      </w:r>
    </w:p>
  </w:endnote>
  <w:endnote w:type="continuationSeparator" w:id="0">
    <w:p w:rsidR="009165D8" w:rsidRDefault="0091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5D8" w:rsidRDefault="009165D8">
      <w:pPr>
        <w:spacing w:after="0" w:line="240" w:lineRule="auto"/>
      </w:pPr>
      <w:r>
        <w:separator/>
      </w:r>
    </w:p>
  </w:footnote>
  <w:footnote w:type="continuationSeparator" w:id="0">
    <w:p w:rsidR="009165D8" w:rsidRDefault="00916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D8" w:rsidRDefault="009165D8">
    <w:pPr>
      <w:pStyle w:val="a3"/>
      <w:jc w:val="center"/>
    </w:pPr>
  </w:p>
  <w:p w:rsidR="009165D8" w:rsidRDefault="009165D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5C84">
      <w:rPr>
        <w:noProof/>
      </w:rPr>
      <w:t>4</w:t>
    </w:r>
    <w:r>
      <w:fldChar w:fldCharType="end"/>
    </w:r>
  </w:p>
  <w:p w:rsidR="009165D8" w:rsidRDefault="009165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D8" w:rsidRPr="008322EB" w:rsidRDefault="009165D8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9165D8" w:rsidRPr="008322EB" w:rsidRDefault="009165D8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9165D8" w:rsidRPr="008322EB" w:rsidRDefault="009165D8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0FFF"/>
    <w:rsid w:val="00061CF0"/>
    <w:rsid w:val="000731E9"/>
    <w:rsid w:val="00080326"/>
    <w:rsid w:val="00081C29"/>
    <w:rsid w:val="0009484E"/>
    <w:rsid w:val="000E7074"/>
    <w:rsid w:val="00116E59"/>
    <w:rsid w:val="00123E12"/>
    <w:rsid w:val="00135901"/>
    <w:rsid w:val="001874E9"/>
    <w:rsid w:val="001A7DB3"/>
    <w:rsid w:val="001D07D7"/>
    <w:rsid w:val="001D0E12"/>
    <w:rsid w:val="001D47AA"/>
    <w:rsid w:val="002145BA"/>
    <w:rsid w:val="00293631"/>
    <w:rsid w:val="00294715"/>
    <w:rsid w:val="002A1663"/>
    <w:rsid w:val="002D0FFE"/>
    <w:rsid w:val="002D5106"/>
    <w:rsid w:val="00313EE3"/>
    <w:rsid w:val="00333AF1"/>
    <w:rsid w:val="00337DE1"/>
    <w:rsid w:val="00372572"/>
    <w:rsid w:val="003B0664"/>
    <w:rsid w:val="003B43D9"/>
    <w:rsid w:val="003C293C"/>
    <w:rsid w:val="003D345D"/>
    <w:rsid w:val="00402C9E"/>
    <w:rsid w:val="00421EA6"/>
    <w:rsid w:val="00442172"/>
    <w:rsid w:val="004650BE"/>
    <w:rsid w:val="0047512B"/>
    <w:rsid w:val="00481E21"/>
    <w:rsid w:val="004B488C"/>
    <w:rsid w:val="004F3B4D"/>
    <w:rsid w:val="004F750B"/>
    <w:rsid w:val="005248E8"/>
    <w:rsid w:val="00527D80"/>
    <w:rsid w:val="005371AD"/>
    <w:rsid w:val="00544D6B"/>
    <w:rsid w:val="005461F5"/>
    <w:rsid w:val="005B5D8E"/>
    <w:rsid w:val="005F7068"/>
    <w:rsid w:val="00600A69"/>
    <w:rsid w:val="00605AA8"/>
    <w:rsid w:val="0064418A"/>
    <w:rsid w:val="006636BA"/>
    <w:rsid w:val="006661F3"/>
    <w:rsid w:val="006853E1"/>
    <w:rsid w:val="006C1E1D"/>
    <w:rsid w:val="006F50AE"/>
    <w:rsid w:val="0071135A"/>
    <w:rsid w:val="00713A1C"/>
    <w:rsid w:val="00733A42"/>
    <w:rsid w:val="00737519"/>
    <w:rsid w:val="007469C8"/>
    <w:rsid w:val="00782D71"/>
    <w:rsid w:val="0079317B"/>
    <w:rsid w:val="007D610E"/>
    <w:rsid w:val="007E58A7"/>
    <w:rsid w:val="007F0DDF"/>
    <w:rsid w:val="008237A4"/>
    <w:rsid w:val="00831197"/>
    <w:rsid w:val="008322EB"/>
    <w:rsid w:val="008427A5"/>
    <w:rsid w:val="00850A3B"/>
    <w:rsid w:val="00865767"/>
    <w:rsid w:val="008A6415"/>
    <w:rsid w:val="008B2C28"/>
    <w:rsid w:val="008B6E61"/>
    <w:rsid w:val="008D62BC"/>
    <w:rsid w:val="008F0E71"/>
    <w:rsid w:val="009165D8"/>
    <w:rsid w:val="0096352D"/>
    <w:rsid w:val="009771C9"/>
    <w:rsid w:val="00A45417"/>
    <w:rsid w:val="00A47721"/>
    <w:rsid w:val="00A60F4B"/>
    <w:rsid w:val="00AC5F38"/>
    <w:rsid w:val="00AD2265"/>
    <w:rsid w:val="00AD5C68"/>
    <w:rsid w:val="00B43AA7"/>
    <w:rsid w:val="00B62804"/>
    <w:rsid w:val="00B673C0"/>
    <w:rsid w:val="00B70842"/>
    <w:rsid w:val="00BA2CD9"/>
    <w:rsid w:val="00BB5748"/>
    <w:rsid w:val="00BC7906"/>
    <w:rsid w:val="00BF74E1"/>
    <w:rsid w:val="00C5013E"/>
    <w:rsid w:val="00C572CC"/>
    <w:rsid w:val="00C71585"/>
    <w:rsid w:val="00C86D3C"/>
    <w:rsid w:val="00C91535"/>
    <w:rsid w:val="00D15E89"/>
    <w:rsid w:val="00D31888"/>
    <w:rsid w:val="00D42732"/>
    <w:rsid w:val="00D72077"/>
    <w:rsid w:val="00D92130"/>
    <w:rsid w:val="00DD1820"/>
    <w:rsid w:val="00E05C84"/>
    <w:rsid w:val="00E15967"/>
    <w:rsid w:val="00E213C8"/>
    <w:rsid w:val="00E25046"/>
    <w:rsid w:val="00ED062C"/>
    <w:rsid w:val="00ED1296"/>
    <w:rsid w:val="00F012B7"/>
    <w:rsid w:val="00F10D6C"/>
    <w:rsid w:val="00F254CF"/>
    <w:rsid w:val="00F53CE1"/>
    <w:rsid w:val="00F65BC7"/>
    <w:rsid w:val="00F906D5"/>
    <w:rsid w:val="00FA56CE"/>
    <w:rsid w:val="00FC2BB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BB57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  <w:style w:type="paragraph" w:styleId="a9">
    <w:name w:val="List Paragraph"/>
    <w:basedOn w:val="a"/>
    <w:uiPriority w:val="34"/>
    <w:qFormat/>
    <w:rsid w:val="00BB57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4C777-423E-4E24-8CC0-FDB68183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84</cp:revision>
  <cp:lastPrinted>2019-04-23T00:07:00Z</cp:lastPrinted>
  <dcterms:created xsi:type="dcterms:W3CDTF">2018-05-23T06:46:00Z</dcterms:created>
  <dcterms:modified xsi:type="dcterms:W3CDTF">2019-08-13T03:21:00Z</dcterms:modified>
</cp:coreProperties>
</file>